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9EC8D" w14:textId="120C7DB6" w:rsidR="00341F21" w:rsidRDefault="00000000" w:rsidP="002B2A64">
      <w:pPr>
        <w:spacing w:before="1200"/>
        <w:jc w:val="center"/>
      </w:pPr>
      <w:r>
        <w:rPr>
          <w:b/>
          <w:bCs/>
          <w:color w:val="1B2A4A"/>
          <w:sz w:val="72"/>
          <w:szCs w:val="72"/>
        </w:rPr>
        <w:t>KUMAS</w:t>
      </w:r>
    </w:p>
    <w:p w14:paraId="0344CF91" w14:textId="77777777" w:rsidR="00341F21" w:rsidRDefault="00000000">
      <w:pPr>
        <w:spacing w:after="40"/>
        <w:jc w:val="center"/>
      </w:pPr>
      <w:r>
        <w:rPr>
          <w:color w:val="2E5A88"/>
          <w:sz w:val="24"/>
          <w:szCs w:val="24"/>
        </w:rPr>
        <w:t>Korean UK Medical Association – Students</w:t>
      </w:r>
    </w:p>
    <w:p w14:paraId="01DBA833" w14:textId="77777777" w:rsidR="00341F21" w:rsidRDefault="00341F21">
      <w:pPr>
        <w:pBdr>
          <w:bottom w:val="single" w:sz="12" w:space="8" w:color="C0392B"/>
        </w:pBdr>
        <w:spacing w:after="600"/>
        <w:jc w:val="center"/>
      </w:pPr>
    </w:p>
    <w:p w14:paraId="62D05AAF" w14:textId="77777777" w:rsidR="00341F21" w:rsidRDefault="00000000">
      <w:pPr>
        <w:spacing w:after="80"/>
        <w:jc w:val="center"/>
      </w:pPr>
      <w:r>
        <w:rPr>
          <w:b/>
          <w:bCs/>
          <w:color w:val="1B2A4A"/>
          <w:sz w:val="52"/>
          <w:szCs w:val="52"/>
        </w:rPr>
        <w:t>The Ultimate Guide to UK Medical School</w:t>
      </w:r>
    </w:p>
    <w:p w14:paraId="6E33D837" w14:textId="77777777" w:rsidR="00341F21" w:rsidRDefault="00000000">
      <w:pPr>
        <w:spacing w:after="400"/>
        <w:jc w:val="center"/>
      </w:pPr>
      <w:r>
        <w:rPr>
          <w:b/>
          <w:bCs/>
          <w:color w:val="1B2A4A"/>
          <w:sz w:val="52"/>
          <w:szCs w:val="52"/>
        </w:rPr>
        <w:t>Admissions for International Students</w:t>
      </w:r>
    </w:p>
    <w:p w14:paraId="55FA96B6" w14:textId="77777777" w:rsidR="00341F21" w:rsidRDefault="00000000">
      <w:pPr>
        <w:spacing w:after="80"/>
        <w:jc w:val="center"/>
      </w:pPr>
      <w:r>
        <w:rPr>
          <w:i/>
          <w:iCs/>
          <w:color w:val="555555"/>
          <w:sz w:val="26"/>
          <w:szCs w:val="26"/>
        </w:rPr>
        <w:t>2026–27 Application Cycle</w:t>
      </w:r>
    </w:p>
    <w:p w14:paraId="0974B124" w14:textId="77777777" w:rsidR="00341F21" w:rsidRDefault="00000000">
      <w:pPr>
        <w:spacing w:after="1000"/>
        <w:jc w:val="center"/>
      </w:pPr>
      <w:r>
        <w:rPr>
          <w:color w:val="555555"/>
          <w:sz w:val="22"/>
          <w:szCs w:val="22"/>
        </w:rPr>
        <w:t>For entry in 2027 and beyond</w:t>
      </w:r>
    </w:p>
    <w:p w14:paraId="5CBC7091" w14:textId="77777777" w:rsidR="00341F21" w:rsidRDefault="00000000">
      <w:pPr>
        <w:spacing w:after="40"/>
        <w:jc w:val="center"/>
      </w:pPr>
      <w:r>
        <w:rPr>
          <w:caps/>
          <w:color w:val="555555"/>
          <w:sz w:val="20"/>
          <w:szCs w:val="20"/>
        </w:rPr>
        <w:t>Edited by</w:t>
      </w:r>
    </w:p>
    <w:p w14:paraId="4437573F" w14:textId="77777777" w:rsidR="00341F21" w:rsidRDefault="00000000">
      <w:pPr>
        <w:spacing w:after="20"/>
        <w:jc w:val="center"/>
      </w:pPr>
      <w:r>
        <w:rPr>
          <w:b/>
          <w:bCs/>
          <w:color w:val="1B2A4A"/>
          <w:sz w:val="24"/>
          <w:szCs w:val="24"/>
        </w:rPr>
        <w:t xml:space="preserve">Yoon </w:t>
      </w:r>
      <w:proofErr w:type="gramStart"/>
      <w:r>
        <w:rPr>
          <w:b/>
          <w:bCs/>
          <w:color w:val="1B2A4A"/>
          <w:sz w:val="24"/>
          <w:szCs w:val="24"/>
        </w:rPr>
        <w:t>Kim</w:t>
      </w:r>
      <w:r>
        <w:rPr>
          <w:color w:val="555555"/>
          <w:sz w:val="22"/>
          <w:szCs w:val="22"/>
        </w:rPr>
        <w:t xml:space="preserve">  ·</w:t>
      </w:r>
      <w:proofErr w:type="gramEnd"/>
      <w:r>
        <w:rPr>
          <w:color w:val="555555"/>
          <w:sz w:val="22"/>
          <w:szCs w:val="22"/>
        </w:rPr>
        <w:t xml:space="preserve">  Final Year, Imperial College London (Medicine)</w:t>
      </w:r>
    </w:p>
    <w:p w14:paraId="1A1AED4C" w14:textId="77777777" w:rsidR="00341F21" w:rsidRDefault="00000000">
      <w:pPr>
        <w:spacing w:after="600"/>
        <w:jc w:val="center"/>
      </w:pPr>
      <w:r>
        <w:rPr>
          <w:b/>
          <w:bCs/>
          <w:color w:val="1B2A4A"/>
          <w:sz w:val="24"/>
          <w:szCs w:val="24"/>
        </w:rPr>
        <w:t xml:space="preserve">Jimin </w:t>
      </w:r>
      <w:proofErr w:type="gramStart"/>
      <w:r>
        <w:rPr>
          <w:b/>
          <w:bCs/>
          <w:color w:val="1B2A4A"/>
          <w:sz w:val="24"/>
          <w:szCs w:val="24"/>
        </w:rPr>
        <w:t>Han</w:t>
      </w:r>
      <w:r>
        <w:rPr>
          <w:color w:val="555555"/>
          <w:sz w:val="22"/>
          <w:szCs w:val="22"/>
        </w:rPr>
        <w:t xml:space="preserve">  ·</w:t>
      </w:r>
      <w:proofErr w:type="gramEnd"/>
      <w:r>
        <w:rPr>
          <w:color w:val="555555"/>
          <w:sz w:val="22"/>
          <w:szCs w:val="22"/>
        </w:rPr>
        <w:t xml:space="preserve">  Final Year, University of Bristol (Medicine)</w:t>
      </w:r>
    </w:p>
    <w:p w14:paraId="160E352F" w14:textId="77777777" w:rsidR="00341F21" w:rsidRDefault="00000000">
      <w:r>
        <w:br w:type="page"/>
      </w:r>
    </w:p>
    <w:p w14:paraId="3A1B04DF" w14:textId="77777777" w:rsidR="00341F21" w:rsidRDefault="00000000">
      <w:pPr>
        <w:pStyle w:val="Heading1"/>
        <w:spacing w:after="200"/>
      </w:pPr>
      <w:bookmarkStart w:id="0" w:name="_Toc232375184"/>
      <w:r>
        <w:lastRenderedPageBreak/>
        <w:t>Contents</w:t>
      </w:r>
      <w:bookmarkEnd w:id="0"/>
    </w:p>
    <w:sdt>
      <w:sdtPr>
        <w:alias w:val="Table of Contents"/>
        <w:id w:val="-2046823732"/>
      </w:sdtPr>
      <w:sdtContent>
        <w:p w14:paraId="3996ACB7" w14:textId="77777777" w:rsidR="002B2A64" w:rsidRDefault="00000000">
          <w:pPr>
            <w:pStyle w:val="TOC1"/>
            <w:tabs>
              <w:tab w:val="right" w:leader="dot" w:pos="9350"/>
            </w:tabs>
            <w:rPr>
              <w:noProof/>
            </w:rPr>
          </w:pPr>
          <w:r>
            <w:fldChar w:fldCharType="begin"/>
          </w:r>
          <w:r>
            <w:instrText>TOC \h \o "1-2"</w:instrText>
          </w:r>
          <w:r>
            <w:fldChar w:fldCharType="separate"/>
          </w:r>
          <w:hyperlink w:anchor="_Toc232375184" w:history="1">
            <w:r w:rsidR="002B2A64" w:rsidRPr="00402CA2">
              <w:rPr>
                <w:rStyle w:val="Hyperlink"/>
                <w:noProof/>
              </w:rPr>
              <w:t>Contents</w:t>
            </w:r>
            <w:r w:rsidR="002B2A64">
              <w:rPr>
                <w:noProof/>
              </w:rPr>
              <w:tab/>
            </w:r>
            <w:r w:rsidR="002B2A64">
              <w:rPr>
                <w:noProof/>
              </w:rPr>
              <w:fldChar w:fldCharType="begin"/>
            </w:r>
            <w:r w:rsidR="002B2A64">
              <w:rPr>
                <w:noProof/>
              </w:rPr>
              <w:instrText xml:space="preserve"> PAGEREF _Toc232375184 \h </w:instrText>
            </w:r>
            <w:r w:rsidR="002B2A64">
              <w:rPr>
                <w:noProof/>
              </w:rPr>
            </w:r>
            <w:r w:rsidR="002B2A64">
              <w:rPr>
                <w:noProof/>
              </w:rPr>
              <w:fldChar w:fldCharType="separate"/>
            </w:r>
            <w:r w:rsidR="002B2A64">
              <w:rPr>
                <w:noProof/>
              </w:rPr>
              <w:t>2</w:t>
            </w:r>
            <w:r w:rsidR="002B2A64">
              <w:rPr>
                <w:noProof/>
              </w:rPr>
              <w:fldChar w:fldCharType="end"/>
            </w:r>
          </w:hyperlink>
        </w:p>
        <w:p w14:paraId="646CA9D1" w14:textId="77777777" w:rsidR="002B2A64" w:rsidRDefault="002B2A64">
          <w:pPr>
            <w:pStyle w:val="TOC1"/>
            <w:tabs>
              <w:tab w:val="right" w:leader="dot" w:pos="9350"/>
            </w:tabs>
            <w:rPr>
              <w:noProof/>
            </w:rPr>
          </w:pPr>
          <w:hyperlink w:anchor="_Toc232375185" w:history="1">
            <w:r w:rsidRPr="00402CA2">
              <w:rPr>
                <w:rStyle w:val="Hyperlink"/>
                <w:noProof/>
              </w:rPr>
              <w:t>About This Guide</w:t>
            </w:r>
            <w:r>
              <w:rPr>
                <w:noProof/>
              </w:rPr>
              <w:tab/>
            </w:r>
            <w:r>
              <w:rPr>
                <w:noProof/>
              </w:rPr>
              <w:fldChar w:fldCharType="begin"/>
            </w:r>
            <w:r>
              <w:rPr>
                <w:noProof/>
              </w:rPr>
              <w:instrText xml:space="preserve"> PAGEREF _Toc232375185 \h </w:instrText>
            </w:r>
            <w:r>
              <w:rPr>
                <w:noProof/>
              </w:rPr>
            </w:r>
            <w:r>
              <w:rPr>
                <w:noProof/>
              </w:rPr>
              <w:fldChar w:fldCharType="separate"/>
            </w:r>
            <w:r>
              <w:rPr>
                <w:noProof/>
              </w:rPr>
              <w:t>4</w:t>
            </w:r>
            <w:r>
              <w:rPr>
                <w:noProof/>
              </w:rPr>
              <w:fldChar w:fldCharType="end"/>
            </w:r>
          </w:hyperlink>
        </w:p>
        <w:p w14:paraId="37BB9FC0" w14:textId="77777777" w:rsidR="002B2A64" w:rsidRDefault="002B2A64">
          <w:pPr>
            <w:pStyle w:val="TOC1"/>
            <w:tabs>
              <w:tab w:val="right" w:leader="dot" w:pos="9350"/>
            </w:tabs>
            <w:rPr>
              <w:noProof/>
            </w:rPr>
          </w:pPr>
          <w:hyperlink w:anchor="_Toc232375186" w:history="1">
            <w:r w:rsidRPr="00402CA2">
              <w:rPr>
                <w:rStyle w:val="Hyperlink"/>
                <w:noProof/>
              </w:rPr>
              <w:t>1. The UK Medical Admissions Landscape</w:t>
            </w:r>
            <w:r>
              <w:rPr>
                <w:noProof/>
              </w:rPr>
              <w:tab/>
            </w:r>
            <w:r>
              <w:rPr>
                <w:noProof/>
              </w:rPr>
              <w:fldChar w:fldCharType="begin"/>
            </w:r>
            <w:r>
              <w:rPr>
                <w:noProof/>
              </w:rPr>
              <w:instrText xml:space="preserve"> PAGEREF _Toc232375186 \h </w:instrText>
            </w:r>
            <w:r>
              <w:rPr>
                <w:noProof/>
              </w:rPr>
            </w:r>
            <w:r>
              <w:rPr>
                <w:noProof/>
              </w:rPr>
              <w:fldChar w:fldCharType="separate"/>
            </w:r>
            <w:r>
              <w:rPr>
                <w:noProof/>
              </w:rPr>
              <w:t>4</w:t>
            </w:r>
            <w:r>
              <w:rPr>
                <w:noProof/>
              </w:rPr>
              <w:fldChar w:fldCharType="end"/>
            </w:r>
          </w:hyperlink>
        </w:p>
        <w:p w14:paraId="33EC6703" w14:textId="77777777" w:rsidR="002B2A64" w:rsidRDefault="002B2A64">
          <w:pPr>
            <w:pStyle w:val="TOC2"/>
            <w:tabs>
              <w:tab w:val="right" w:leader="dot" w:pos="9350"/>
            </w:tabs>
            <w:rPr>
              <w:noProof/>
            </w:rPr>
          </w:pPr>
          <w:hyperlink w:anchor="_Toc232375187" w:history="1">
            <w:r w:rsidRPr="00402CA2">
              <w:rPr>
                <w:rStyle w:val="Hyperlink"/>
                <w:noProof/>
              </w:rPr>
              <w:t>1.1 What a UK medical degree looks like</w:t>
            </w:r>
            <w:r>
              <w:rPr>
                <w:noProof/>
              </w:rPr>
              <w:tab/>
            </w:r>
            <w:r>
              <w:rPr>
                <w:noProof/>
              </w:rPr>
              <w:fldChar w:fldCharType="begin"/>
            </w:r>
            <w:r>
              <w:rPr>
                <w:noProof/>
              </w:rPr>
              <w:instrText xml:space="preserve"> PAGEREF _Toc232375187 \h </w:instrText>
            </w:r>
            <w:r>
              <w:rPr>
                <w:noProof/>
              </w:rPr>
            </w:r>
            <w:r>
              <w:rPr>
                <w:noProof/>
              </w:rPr>
              <w:fldChar w:fldCharType="separate"/>
            </w:r>
            <w:r>
              <w:rPr>
                <w:noProof/>
              </w:rPr>
              <w:t>4</w:t>
            </w:r>
            <w:r>
              <w:rPr>
                <w:noProof/>
              </w:rPr>
              <w:fldChar w:fldCharType="end"/>
            </w:r>
          </w:hyperlink>
        </w:p>
        <w:p w14:paraId="0F38A4E6" w14:textId="77777777" w:rsidR="002B2A64" w:rsidRDefault="002B2A64">
          <w:pPr>
            <w:pStyle w:val="TOC2"/>
            <w:tabs>
              <w:tab w:val="right" w:leader="dot" w:pos="9350"/>
            </w:tabs>
            <w:rPr>
              <w:noProof/>
            </w:rPr>
          </w:pPr>
          <w:hyperlink w:anchor="_Toc232375188" w:history="1">
            <w:r w:rsidRPr="00402CA2">
              <w:rPr>
                <w:rStyle w:val="Hyperlink"/>
                <w:noProof/>
              </w:rPr>
              <w:t>1.2 The big change: BMAT is gone</w:t>
            </w:r>
            <w:r>
              <w:rPr>
                <w:noProof/>
              </w:rPr>
              <w:tab/>
            </w:r>
            <w:r>
              <w:rPr>
                <w:noProof/>
              </w:rPr>
              <w:fldChar w:fldCharType="begin"/>
            </w:r>
            <w:r>
              <w:rPr>
                <w:noProof/>
              </w:rPr>
              <w:instrText xml:space="preserve"> PAGEREF _Toc232375188 \h </w:instrText>
            </w:r>
            <w:r>
              <w:rPr>
                <w:noProof/>
              </w:rPr>
            </w:r>
            <w:r>
              <w:rPr>
                <w:noProof/>
              </w:rPr>
              <w:fldChar w:fldCharType="separate"/>
            </w:r>
            <w:r>
              <w:rPr>
                <w:noProof/>
              </w:rPr>
              <w:t>4</w:t>
            </w:r>
            <w:r>
              <w:rPr>
                <w:noProof/>
              </w:rPr>
              <w:fldChar w:fldCharType="end"/>
            </w:r>
          </w:hyperlink>
        </w:p>
        <w:p w14:paraId="0B1AD7FC" w14:textId="77777777" w:rsidR="002B2A64" w:rsidRDefault="002B2A64">
          <w:pPr>
            <w:pStyle w:val="TOC2"/>
            <w:tabs>
              <w:tab w:val="right" w:leader="dot" w:pos="9350"/>
            </w:tabs>
            <w:rPr>
              <w:noProof/>
            </w:rPr>
          </w:pPr>
          <w:hyperlink w:anchor="_Toc232375189" w:history="1">
            <w:r w:rsidRPr="00402CA2">
              <w:rPr>
                <w:rStyle w:val="Hyperlink"/>
                <w:noProof/>
              </w:rPr>
              <w:t>1.3 The application skeleton</w:t>
            </w:r>
            <w:r>
              <w:rPr>
                <w:noProof/>
              </w:rPr>
              <w:tab/>
            </w:r>
            <w:r>
              <w:rPr>
                <w:noProof/>
              </w:rPr>
              <w:fldChar w:fldCharType="begin"/>
            </w:r>
            <w:r>
              <w:rPr>
                <w:noProof/>
              </w:rPr>
              <w:instrText xml:space="preserve"> PAGEREF _Toc232375189 \h </w:instrText>
            </w:r>
            <w:r>
              <w:rPr>
                <w:noProof/>
              </w:rPr>
            </w:r>
            <w:r>
              <w:rPr>
                <w:noProof/>
              </w:rPr>
              <w:fldChar w:fldCharType="separate"/>
            </w:r>
            <w:r>
              <w:rPr>
                <w:noProof/>
              </w:rPr>
              <w:t>5</w:t>
            </w:r>
            <w:r>
              <w:rPr>
                <w:noProof/>
              </w:rPr>
              <w:fldChar w:fldCharType="end"/>
            </w:r>
          </w:hyperlink>
        </w:p>
        <w:p w14:paraId="1FDC9C84" w14:textId="77777777" w:rsidR="002B2A64" w:rsidRDefault="002B2A64">
          <w:pPr>
            <w:pStyle w:val="TOC1"/>
            <w:tabs>
              <w:tab w:val="right" w:leader="dot" w:pos="9350"/>
            </w:tabs>
            <w:rPr>
              <w:noProof/>
            </w:rPr>
          </w:pPr>
          <w:hyperlink w:anchor="_Toc232375190" w:history="1">
            <w:r w:rsidRPr="00402CA2">
              <w:rPr>
                <w:rStyle w:val="Hyperlink"/>
                <w:noProof/>
              </w:rPr>
              <w:t>2. Eligibility, Academics &amp; Timeline</w:t>
            </w:r>
            <w:r>
              <w:rPr>
                <w:noProof/>
              </w:rPr>
              <w:tab/>
            </w:r>
            <w:r>
              <w:rPr>
                <w:noProof/>
              </w:rPr>
              <w:fldChar w:fldCharType="begin"/>
            </w:r>
            <w:r>
              <w:rPr>
                <w:noProof/>
              </w:rPr>
              <w:instrText xml:space="preserve"> PAGEREF _Toc232375190 \h </w:instrText>
            </w:r>
            <w:r>
              <w:rPr>
                <w:noProof/>
              </w:rPr>
            </w:r>
            <w:r>
              <w:rPr>
                <w:noProof/>
              </w:rPr>
              <w:fldChar w:fldCharType="separate"/>
            </w:r>
            <w:r>
              <w:rPr>
                <w:noProof/>
              </w:rPr>
              <w:t>5</w:t>
            </w:r>
            <w:r>
              <w:rPr>
                <w:noProof/>
              </w:rPr>
              <w:fldChar w:fldCharType="end"/>
            </w:r>
          </w:hyperlink>
        </w:p>
        <w:p w14:paraId="6D6D2FBE" w14:textId="77777777" w:rsidR="002B2A64" w:rsidRDefault="002B2A64">
          <w:pPr>
            <w:pStyle w:val="TOC2"/>
            <w:tabs>
              <w:tab w:val="right" w:leader="dot" w:pos="9350"/>
            </w:tabs>
            <w:rPr>
              <w:noProof/>
            </w:rPr>
          </w:pPr>
          <w:hyperlink w:anchor="_Toc232375191" w:history="1">
            <w:r w:rsidRPr="00402CA2">
              <w:rPr>
                <w:rStyle w:val="Hyperlink"/>
                <w:noProof/>
              </w:rPr>
              <w:t>2.1 Academic requirements</w:t>
            </w:r>
            <w:r>
              <w:rPr>
                <w:noProof/>
              </w:rPr>
              <w:tab/>
            </w:r>
            <w:r>
              <w:rPr>
                <w:noProof/>
              </w:rPr>
              <w:fldChar w:fldCharType="begin"/>
            </w:r>
            <w:r>
              <w:rPr>
                <w:noProof/>
              </w:rPr>
              <w:instrText xml:space="preserve"> PAGEREF _Toc232375191 \h </w:instrText>
            </w:r>
            <w:r>
              <w:rPr>
                <w:noProof/>
              </w:rPr>
            </w:r>
            <w:r>
              <w:rPr>
                <w:noProof/>
              </w:rPr>
              <w:fldChar w:fldCharType="separate"/>
            </w:r>
            <w:r>
              <w:rPr>
                <w:noProof/>
              </w:rPr>
              <w:t>5</w:t>
            </w:r>
            <w:r>
              <w:rPr>
                <w:noProof/>
              </w:rPr>
              <w:fldChar w:fldCharType="end"/>
            </w:r>
          </w:hyperlink>
        </w:p>
        <w:p w14:paraId="10CD8A48" w14:textId="77777777" w:rsidR="002B2A64" w:rsidRDefault="002B2A64">
          <w:pPr>
            <w:pStyle w:val="TOC2"/>
            <w:tabs>
              <w:tab w:val="right" w:leader="dot" w:pos="9350"/>
            </w:tabs>
            <w:rPr>
              <w:noProof/>
            </w:rPr>
          </w:pPr>
          <w:hyperlink w:anchor="_Toc232375192" w:history="1">
            <w:r w:rsidRPr="00402CA2">
              <w:rPr>
                <w:rStyle w:val="Hyperlink"/>
                <w:noProof/>
              </w:rPr>
              <w:t>2.2 English language</w:t>
            </w:r>
            <w:r>
              <w:rPr>
                <w:noProof/>
              </w:rPr>
              <w:tab/>
            </w:r>
            <w:r>
              <w:rPr>
                <w:noProof/>
              </w:rPr>
              <w:fldChar w:fldCharType="begin"/>
            </w:r>
            <w:r>
              <w:rPr>
                <w:noProof/>
              </w:rPr>
              <w:instrText xml:space="preserve"> PAGEREF _Toc232375192 \h </w:instrText>
            </w:r>
            <w:r>
              <w:rPr>
                <w:noProof/>
              </w:rPr>
            </w:r>
            <w:r>
              <w:rPr>
                <w:noProof/>
              </w:rPr>
              <w:fldChar w:fldCharType="separate"/>
            </w:r>
            <w:r>
              <w:rPr>
                <w:noProof/>
              </w:rPr>
              <w:t>5</w:t>
            </w:r>
            <w:r>
              <w:rPr>
                <w:noProof/>
              </w:rPr>
              <w:fldChar w:fldCharType="end"/>
            </w:r>
          </w:hyperlink>
        </w:p>
        <w:p w14:paraId="383EA22E" w14:textId="77777777" w:rsidR="002B2A64" w:rsidRDefault="002B2A64">
          <w:pPr>
            <w:pStyle w:val="TOC2"/>
            <w:tabs>
              <w:tab w:val="right" w:leader="dot" w:pos="9350"/>
            </w:tabs>
            <w:rPr>
              <w:noProof/>
            </w:rPr>
          </w:pPr>
          <w:hyperlink w:anchor="_Toc232375193" w:history="1">
            <w:r w:rsidRPr="00402CA2">
              <w:rPr>
                <w:rStyle w:val="Hyperlink"/>
                <w:noProof/>
              </w:rPr>
              <w:t>2.3 The cycle timeline</w:t>
            </w:r>
            <w:r>
              <w:rPr>
                <w:noProof/>
              </w:rPr>
              <w:tab/>
            </w:r>
            <w:r>
              <w:rPr>
                <w:noProof/>
              </w:rPr>
              <w:fldChar w:fldCharType="begin"/>
            </w:r>
            <w:r>
              <w:rPr>
                <w:noProof/>
              </w:rPr>
              <w:instrText xml:space="preserve"> PAGEREF _Toc232375193 \h </w:instrText>
            </w:r>
            <w:r>
              <w:rPr>
                <w:noProof/>
              </w:rPr>
            </w:r>
            <w:r>
              <w:rPr>
                <w:noProof/>
              </w:rPr>
              <w:fldChar w:fldCharType="separate"/>
            </w:r>
            <w:r>
              <w:rPr>
                <w:noProof/>
              </w:rPr>
              <w:t>5</w:t>
            </w:r>
            <w:r>
              <w:rPr>
                <w:noProof/>
              </w:rPr>
              <w:fldChar w:fldCharType="end"/>
            </w:r>
          </w:hyperlink>
        </w:p>
        <w:p w14:paraId="55E09720" w14:textId="77777777" w:rsidR="002B2A64" w:rsidRDefault="002B2A64">
          <w:pPr>
            <w:pStyle w:val="TOC1"/>
            <w:tabs>
              <w:tab w:val="right" w:leader="dot" w:pos="9350"/>
            </w:tabs>
            <w:rPr>
              <w:noProof/>
            </w:rPr>
          </w:pPr>
          <w:hyperlink w:anchor="_Toc232375194" w:history="1">
            <w:r w:rsidRPr="00402CA2">
              <w:rPr>
                <w:rStyle w:val="Hyperlink"/>
                <w:noProof/>
              </w:rPr>
              <w:t>3. The UCAT (Your Only Admissions Test)</w:t>
            </w:r>
            <w:r>
              <w:rPr>
                <w:noProof/>
              </w:rPr>
              <w:tab/>
            </w:r>
            <w:r>
              <w:rPr>
                <w:noProof/>
              </w:rPr>
              <w:fldChar w:fldCharType="begin"/>
            </w:r>
            <w:r>
              <w:rPr>
                <w:noProof/>
              </w:rPr>
              <w:instrText xml:space="preserve"> PAGEREF _Toc232375194 \h </w:instrText>
            </w:r>
            <w:r>
              <w:rPr>
                <w:noProof/>
              </w:rPr>
            </w:r>
            <w:r>
              <w:rPr>
                <w:noProof/>
              </w:rPr>
              <w:fldChar w:fldCharType="separate"/>
            </w:r>
            <w:r>
              <w:rPr>
                <w:noProof/>
              </w:rPr>
              <w:t>6</w:t>
            </w:r>
            <w:r>
              <w:rPr>
                <w:noProof/>
              </w:rPr>
              <w:fldChar w:fldCharType="end"/>
            </w:r>
          </w:hyperlink>
        </w:p>
        <w:p w14:paraId="24128D5B" w14:textId="77777777" w:rsidR="002B2A64" w:rsidRDefault="002B2A64">
          <w:pPr>
            <w:pStyle w:val="TOC2"/>
            <w:tabs>
              <w:tab w:val="right" w:leader="dot" w:pos="9350"/>
            </w:tabs>
            <w:rPr>
              <w:noProof/>
            </w:rPr>
          </w:pPr>
          <w:hyperlink w:anchor="_Toc232375195" w:history="1">
            <w:r w:rsidRPr="00402CA2">
              <w:rPr>
                <w:rStyle w:val="Hyperlink"/>
                <w:noProof/>
              </w:rPr>
              <w:t>3.1 The 2025+ format (post Abstract-Reasoning removal)</w:t>
            </w:r>
            <w:r>
              <w:rPr>
                <w:noProof/>
              </w:rPr>
              <w:tab/>
            </w:r>
            <w:r>
              <w:rPr>
                <w:noProof/>
              </w:rPr>
              <w:fldChar w:fldCharType="begin"/>
            </w:r>
            <w:r>
              <w:rPr>
                <w:noProof/>
              </w:rPr>
              <w:instrText xml:space="preserve"> PAGEREF _Toc232375195 \h </w:instrText>
            </w:r>
            <w:r>
              <w:rPr>
                <w:noProof/>
              </w:rPr>
            </w:r>
            <w:r>
              <w:rPr>
                <w:noProof/>
              </w:rPr>
              <w:fldChar w:fldCharType="separate"/>
            </w:r>
            <w:r>
              <w:rPr>
                <w:noProof/>
              </w:rPr>
              <w:t>6</w:t>
            </w:r>
            <w:r>
              <w:rPr>
                <w:noProof/>
              </w:rPr>
              <w:fldChar w:fldCharType="end"/>
            </w:r>
          </w:hyperlink>
        </w:p>
        <w:p w14:paraId="76C590A8" w14:textId="77777777" w:rsidR="002B2A64" w:rsidRDefault="002B2A64">
          <w:pPr>
            <w:pStyle w:val="TOC2"/>
            <w:tabs>
              <w:tab w:val="right" w:leader="dot" w:pos="9350"/>
            </w:tabs>
            <w:rPr>
              <w:noProof/>
            </w:rPr>
          </w:pPr>
          <w:hyperlink w:anchor="_Toc232375196" w:history="1">
            <w:r w:rsidRPr="00402CA2">
              <w:rPr>
                <w:rStyle w:val="Hyperlink"/>
                <w:noProof/>
              </w:rPr>
              <w:t>3.2 How schools use the UCAT</w:t>
            </w:r>
            <w:r>
              <w:rPr>
                <w:noProof/>
              </w:rPr>
              <w:tab/>
            </w:r>
            <w:r>
              <w:rPr>
                <w:noProof/>
              </w:rPr>
              <w:fldChar w:fldCharType="begin"/>
            </w:r>
            <w:r>
              <w:rPr>
                <w:noProof/>
              </w:rPr>
              <w:instrText xml:space="preserve"> PAGEREF _Toc232375196 \h </w:instrText>
            </w:r>
            <w:r>
              <w:rPr>
                <w:noProof/>
              </w:rPr>
            </w:r>
            <w:r>
              <w:rPr>
                <w:noProof/>
              </w:rPr>
              <w:fldChar w:fldCharType="separate"/>
            </w:r>
            <w:r>
              <w:rPr>
                <w:noProof/>
              </w:rPr>
              <w:t>6</w:t>
            </w:r>
            <w:r>
              <w:rPr>
                <w:noProof/>
              </w:rPr>
              <w:fldChar w:fldCharType="end"/>
            </w:r>
          </w:hyperlink>
        </w:p>
        <w:p w14:paraId="144B6A81" w14:textId="77777777" w:rsidR="002B2A64" w:rsidRDefault="002B2A64">
          <w:pPr>
            <w:pStyle w:val="TOC2"/>
            <w:tabs>
              <w:tab w:val="right" w:leader="dot" w:pos="9350"/>
            </w:tabs>
            <w:rPr>
              <w:noProof/>
            </w:rPr>
          </w:pPr>
          <w:hyperlink w:anchor="_Toc232375197" w:history="1">
            <w:r w:rsidRPr="00402CA2">
              <w:rPr>
                <w:rStyle w:val="Hyperlink"/>
                <w:noProof/>
              </w:rPr>
              <w:t>3.3 Preparation</w:t>
            </w:r>
            <w:r>
              <w:rPr>
                <w:noProof/>
              </w:rPr>
              <w:tab/>
            </w:r>
            <w:r>
              <w:rPr>
                <w:noProof/>
              </w:rPr>
              <w:fldChar w:fldCharType="begin"/>
            </w:r>
            <w:r>
              <w:rPr>
                <w:noProof/>
              </w:rPr>
              <w:instrText xml:space="preserve"> PAGEREF _Toc232375197 \h </w:instrText>
            </w:r>
            <w:r>
              <w:rPr>
                <w:noProof/>
              </w:rPr>
            </w:r>
            <w:r>
              <w:rPr>
                <w:noProof/>
              </w:rPr>
              <w:fldChar w:fldCharType="separate"/>
            </w:r>
            <w:r>
              <w:rPr>
                <w:noProof/>
              </w:rPr>
              <w:t>7</w:t>
            </w:r>
            <w:r>
              <w:rPr>
                <w:noProof/>
              </w:rPr>
              <w:fldChar w:fldCharType="end"/>
            </w:r>
          </w:hyperlink>
        </w:p>
        <w:p w14:paraId="2C4198E0" w14:textId="77777777" w:rsidR="002B2A64" w:rsidRDefault="002B2A64">
          <w:pPr>
            <w:pStyle w:val="TOC1"/>
            <w:tabs>
              <w:tab w:val="right" w:leader="dot" w:pos="9350"/>
            </w:tabs>
            <w:rPr>
              <w:noProof/>
            </w:rPr>
          </w:pPr>
          <w:hyperlink w:anchor="_Toc232375198" w:history="1">
            <w:r w:rsidRPr="00402CA2">
              <w:rPr>
                <w:rStyle w:val="Hyperlink"/>
                <w:noProof/>
              </w:rPr>
              <w:t>4. Choosing Your Four Schools</w:t>
            </w:r>
            <w:r>
              <w:rPr>
                <w:noProof/>
              </w:rPr>
              <w:tab/>
            </w:r>
            <w:r>
              <w:rPr>
                <w:noProof/>
              </w:rPr>
              <w:fldChar w:fldCharType="begin"/>
            </w:r>
            <w:r>
              <w:rPr>
                <w:noProof/>
              </w:rPr>
              <w:instrText xml:space="preserve"> PAGEREF _Toc232375198 \h </w:instrText>
            </w:r>
            <w:r>
              <w:rPr>
                <w:noProof/>
              </w:rPr>
            </w:r>
            <w:r>
              <w:rPr>
                <w:noProof/>
              </w:rPr>
              <w:fldChar w:fldCharType="separate"/>
            </w:r>
            <w:r>
              <w:rPr>
                <w:noProof/>
              </w:rPr>
              <w:t>7</w:t>
            </w:r>
            <w:r>
              <w:rPr>
                <w:noProof/>
              </w:rPr>
              <w:fldChar w:fldCharType="end"/>
            </w:r>
          </w:hyperlink>
        </w:p>
        <w:p w14:paraId="6B92A430" w14:textId="77777777" w:rsidR="002B2A64" w:rsidRDefault="002B2A64">
          <w:pPr>
            <w:pStyle w:val="TOC2"/>
            <w:tabs>
              <w:tab w:val="right" w:leader="dot" w:pos="9350"/>
            </w:tabs>
            <w:rPr>
              <w:noProof/>
            </w:rPr>
          </w:pPr>
          <w:hyperlink w:anchor="_Toc232375199" w:history="1">
            <w:r w:rsidRPr="00402CA2">
              <w:rPr>
                <w:rStyle w:val="Hyperlink"/>
                <w:noProof/>
              </w:rPr>
              <w:t>4.1 Factors that matter for international applicants</w:t>
            </w:r>
            <w:r>
              <w:rPr>
                <w:noProof/>
              </w:rPr>
              <w:tab/>
            </w:r>
            <w:r>
              <w:rPr>
                <w:noProof/>
              </w:rPr>
              <w:fldChar w:fldCharType="begin"/>
            </w:r>
            <w:r>
              <w:rPr>
                <w:noProof/>
              </w:rPr>
              <w:instrText xml:space="preserve"> PAGEREF _Toc232375199 \h </w:instrText>
            </w:r>
            <w:r>
              <w:rPr>
                <w:noProof/>
              </w:rPr>
            </w:r>
            <w:r>
              <w:rPr>
                <w:noProof/>
              </w:rPr>
              <w:fldChar w:fldCharType="separate"/>
            </w:r>
            <w:r>
              <w:rPr>
                <w:noProof/>
              </w:rPr>
              <w:t>7</w:t>
            </w:r>
            <w:r>
              <w:rPr>
                <w:noProof/>
              </w:rPr>
              <w:fldChar w:fldCharType="end"/>
            </w:r>
          </w:hyperlink>
        </w:p>
        <w:p w14:paraId="73B1A4F8" w14:textId="77777777" w:rsidR="002B2A64" w:rsidRDefault="002B2A64">
          <w:pPr>
            <w:pStyle w:val="TOC2"/>
            <w:tabs>
              <w:tab w:val="right" w:leader="dot" w:pos="9350"/>
            </w:tabs>
            <w:rPr>
              <w:noProof/>
            </w:rPr>
          </w:pPr>
          <w:hyperlink w:anchor="_Toc232375200" w:history="1">
            <w:r w:rsidRPr="00402CA2">
              <w:rPr>
                <w:rStyle w:val="Hyperlink"/>
                <w:noProof/>
              </w:rPr>
              <w:t>4.2 Build a balanced four</w:t>
            </w:r>
            <w:r>
              <w:rPr>
                <w:noProof/>
              </w:rPr>
              <w:tab/>
            </w:r>
            <w:r>
              <w:rPr>
                <w:noProof/>
              </w:rPr>
              <w:fldChar w:fldCharType="begin"/>
            </w:r>
            <w:r>
              <w:rPr>
                <w:noProof/>
              </w:rPr>
              <w:instrText xml:space="preserve"> PAGEREF _Toc232375200 \h </w:instrText>
            </w:r>
            <w:r>
              <w:rPr>
                <w:noProof/>
              </w:rPr>
            </w:r>
            <w:r>
              <w:rPr>
                <w:noProof/>
              </w:rPr>
              <w:fldChar w:fldCharType="separate"/>
            </w:r>
            <w:r>
              <w:rPr>
                <w:noProof/>
              </w:rPr>
              <w:t>7</w:t>
            </w:r>
            <w:r>
              <w:rPr>
                <w:noProof/>
              </w:rPr>
              <w:fldChar w:fldCharType="end"/>
            </w:r>
          </w:hyperlink>
        </w:p>
        <w:p w14:paraId="0112AEB7" w14:textId="77777777" w:rsidR="002B2A64" w:rsidRDefault="002B2A64">
          <w:pPr>
            <w:pStyle w:val="TOC1"/>
            <w:tabs>
              <w:tab w:val="right" w:leader="dot" w:pos="9350"/>
            </w:tabs>
            <w:rPr>
              <w:noProof/>
            </w:rPr>
          </w:pPr>
          <w:hyperlink w:anchor="_Toc232375201" w:history="1">
            <w:r w:rsidRPr="00402CA2">
              <w:rPr>
                <w:rStyle w:val="Hyperlink"/>
                <w:noProof/>
              </w:rPr>
              <w:t>5. The Personal Statement</w:t>
            </w:r>
            <w:r>
              <w:rPr>
                <w:noProof/>
              </w:rPr>
              <w:tab/>
            </w:r>
            <w:r>
              <w:rPr>
                <w:noProof/>
              </w:rPr>
              <w:fldChar w:fldCharType="begin"/>
            </w:r>
            <w:r>
              <w:rPr>
                <w:noProof/>
              </w:rPr>
              <w:instrText xml:space="preserve"> PAGEREF _Toc232375201 \h </w:instrText>
            </w:r>
            <w:r>
              <w:rPr>
                <w:noProof/>
              </w:rPr>
            </w:r>
            <w:r>
              <w:rPr>
                <w:noProof/>
              </w:rPr>
              <w:fldChar w:fldCharType="separate"/>
            </w:r>
            <w:r>
              <w:rPr>
                <w:noProof/>
              </w:rPr>
              <w:t>8</w:t>
            </w:r>
            <w:r>
              <w:rPr>
                <w:noProof/>
              </w:rPr>
              <w:fldChar w:fldCharType="end"/>
            </w:r>
          </w:hyperlink>
        </w:p>
        <w:p w14:paraId="44C55642" w14:textId="77777777" w:rsidR="002B2A64" w:rsidRDefault="002B2A64">
          <w:pPr>
            <w:pStyle w:val="TOC2"/>
            <w:tabs>
              <w:tab w:val="right" w:leader="dot" w:pos="9350"/>
            </w:tabs>
            <w:rPr>
              <w:noProof/>
            </w:rPr>
          </w:pPr>
          <w:hyperlink w:anchor="_Toc232375202" w:history="1">
            <w:r w:rsidRPr="00402CA2">
              <w:rPr>
                <w:rStyle w:val="Hyperlink"/>
                <w:noProof/>
              </w:rPr>
              <w:t>5.1 What admissions tutors look for</w:t>
            </w:r>
            <w:r>
              <w:rPr>
                <w:noProof/>
              </w:rPr>
              <w:tab/>
            </w:r>
            <w:r>
              <w:rPr>
                <w:noProof/>
              </w:rPr>
              <w:fldChar w:fldCharType="begin"/>
            </w:r>
            <w:r>
              <w:rPr>
                <w:noProof/>
              </w:rPr>
              <w:instrText xml:space="preserve"> PAGEREF _Toc232375202 \h </w:instrText>
            </w:r>
            <w:r>
              <w:rPr>
                <w:noProof/>
              </w:rPr>
            </w:r>
            <w:r>
              <w:rPr>
                <w:noProof/>
              </w:rPr>
              <w:fldChar w:fldCharType="separate"/>
            </w:r>
            <w:r>
              <w:rPr>
                <w:noProof/>
              </w:rPr>
              <w:t>8</w:t>
            </w:r>
            <w:r>
              <w:rPr>
                <w:noProof/>
              </w:rPr>
              <w:fldChar w:fldCharType="end"/>
            </w:r>
          </w:hyperlink>
        </w:p>
        <w:p w14:paraId="618AE928" w14:textId="77777777" w:rsidR="002B2A64" w:rsidRDefault="002B2A64">
          <w:pPr>
            <w:pStyle w:val="TOC2"/>
            <w:tabs>
              <w:tab w:val="right" w:leader="dot" w:pos="9350"/>
            </w:tabs>
            <w:rPr>
              <w:noProof/>
            </w:rPr>
          </w:pPr>
          <w:hyperlink w:anchor="_Toc232375203" w:history="1">
            <w:r w:rsidRPr="00402CA2">
              <w:rPr>
                <w:rStyle w:val="Hyperlink"/>
                <w:noProof/>
              </w:rPr>
              <w:t>5.2 A workable structure</w:t>
            </w:r>
            <w:r>
              <w:rPr>
                <w:noProof/>
              </w:rPr>
              <w:tab/>
            </w:r>
            <w:r>
              <w:rPr>
                <w:noProof/>
              </w:rPr>
              <w:fldChar w:fldCharType="begin"/>
            </w:r>
            <w:r>
              <w:rPr>
                <w:noProof/>
              </w:rPr>
              <w:instrText xml:space="preserve"> PAGEREF _Toc232375203 \h </w:instrText>
            </w:r>
            <w:r>
              <w:rPr>
                <w:noProof/>
              </w:rPr>
            </w:r>
            <w:r>
              <w:rPr>
                <w:noProof/>
              </w:rPr>
              <w:fldChar w:fldCharType="separate"/>
            </w:r>
            <w:r>
              <w:rPr>
                <w:noProof/>
              </w:rPr>
              <w:t>8</w:t>
            </w:r>
            <w:r>
              <w:rPr>
                <w:noProof/>
              </w:rPr>
              <w:fldChar w:fldCharType="end"/>
            </w:r>
          </w:hyperlink>
        </w:p>
        <w:p w14:paraId="291F9E44" w14:textId="77777777" w:rsidR="002B2A64" w:rsidRDefault="002B2A64">
          <w:pPr>
            <w:pStyle w:val="TOC2"/>
            <w:tabs>
              <w:tab w:val="right" w:leader="dot" w:pos="9350"/>
            </w:tabs>
            <w:rPr>
              <w:noProof/>
            </w:rPr>
          </w:pPr>
          <w:hyperlink w:anchor="_Toc232375204" w:history="1">
            <w:r w:rsidRPr="00402CA2">
              <w:rPr>
                <w:rStyle w:val="Hyperlink"/>
                <w:noProof/>
              </w:rPr>
              <w:t>5.3 Notes specifically for international applicants</w:t>
            </w:r>
            <w:r>
              <w:rPr>
                <w:noProof/>
              </w:rPr>
              <w:tab/>
            </w:r>
            <w:r>
              <w:rPr>
                <w:noProof/>
              </w:rPr>
              <w:fldChar w:fldCharType="begin"/>
            </w:r>
            <w:r>
              <w:rPr>
                <w:noProof/>
              </w:rPr>
              <w:instrText xml:space="preserve"> PAGEREF _Toc232375204 \h </w:instrText>
            </w:r>
            <w:r>
              <w:rPr>
                <w:noProof/>
              </w:rPr>
            </w:r>
            <w:r>
              <w:rPr>
                <w:noProof/>
              </w:rPr>
              <w:fldChar w:fldCharType="separate"/>
            </w:r>
            <w:r>
              <w:rPr>
                <w:noProof/>
              </w:rPr>
              <w:t>8</w:t>
            </w:r>
            <w:r>
              <w:rPr>
                <w:noProof/>
              </w:rPr>
              <w:fldChar w:fldCharType="end"/>
            </w:r>
          </w:hyperlink>
        </w:p>
        <w:p w14:paraId="3D075E69" w14:textId="77777777" w:rsidR="002B2A64" w:rsidRDefault="002B2A64">
          <w:pPr>
            <w:pStyle w:val="TOC1"/>
            <w:tabs>
              <w:tab w:val="right" w:leader="dot" w:pos="9350"/>
            </w:tabs>
            <w:rPr>
              <w:noProof/>
            </w:rPr>
          </w:pPr>
          <w:hyperlink w:anchor="_Toc232375205" w:history="1">
            <w:r w:rsidRPr="00402CA2">
              <w:rPr>
                <w:rStyle w:val="Hyperlink"/>
                <w:noProof/>
              </w:rPr>
              <w:t>6. References &amp; Interviews</w:t>
            </w:r>
            <w:r>
              <w:rPr>
                <w:noProof/>
              </w:rPr>
              <w:tab/>
            </w:r>
            <w:r>
              <w:rPr>
                <w:noProof/>
              </w:rPr>
              <w:fldChar w:fldCharType="begin"/>
            </w:r>
            <w:r>
              <w:rPr>
                <w:noProof/>
              </w:rPr>
              <w:instrText xml:space="preserve"> PAGEREF _Toc232375205 \h </w:instrText>
            </w:r>
            <w:r>
              <w:rPr>
                <w:noProof/>
              </w:rPr>
            </w:r>
            <w:r>
              <w:rPr>
                <w:noProof/>
              </w:rPr>
              <w:fldChar w:fldCharType="separate"/>
            </w:r>
            <w:r>
              <w:rPr>
                <w:noProof/>
              </w:rPr>
              <w:t>8</w:t>
            </w:r>
            <w:r>
              <w:rPr>
                <w:noProof/>
              </w:rPr>
              <w:fldChar w:fldCharType="end"/>
            </w:r>
          </w:hyperlink>
        </w:p>
        <w:p w14:paraId="5EBDB577" w14:textId="77777777" w:rsidR="002B2A64" w:rsidRDefault="002B2A64">
          <w:pPr>
            <w:pStyle w:val="TOC2"/>
            <w:tabs>
              <w:tab w:val="right" w:leader="dot" w:pos="9350"/>
            </w:tabs>
            <w:rPr>
              <w:noProof/>
            </w:rPr>
          </w:pPr>
          <w:hyperlink w:anchor="_Toc232375206" w:history="1">
            <w:r w:rsidRPr="00402CA2">
              <w:rPr>
                <w:rStyle w:val="Hyperlink"/>
                <w:noProof/>
              </w:rPr>
              <w:t>6.1 The reference</w:t>
            </w:r>
            <w:r>
              <w:rPr>
                <w:noProof/>
              </w:rPr>
              <w:tab/>
            </w:r>
            <w:r>
              <w:rPr>
                <w:noProof/>
              </w:rPr>
              <w:fldChar w:fldCharType="begin"/>
            </w:r>
            <w:r>
              <w:rPr>
                <w:noProof/>
              </w:rPr>
              <w:instrText xml:space="preserve"> PAGEREF _Toc232375206 \h </w:instrText>
            </w:r>
            <w:r>
              <w:rPr>
                <w:noProof/>
              </w:rPr>
            </w:r>
            <w:r>
              <w:rPr>
                <w:noProof/>
              </w:rPr>
              <w:fldChar w:fldCharType="separate"/>
            </w:r>
            <w:r>
              <w:rPr>
                <w:noProof/>
              </w:rPr>
              <w:t>8</w:t>
            </w:r>
            <w:r>
              <w:rPr>
                <w:noProof/>
              </w:rPr>
              <w:fldChar w:fldCharType="end"/>
            </w:r>
          </w:hyperlink>
        </w:p>
        <w:p w14:paraId="2EE76F79" w14:textId="77777777" w:rsidR="002B2A64" w:rsidRDefault="002B2A64">
          <w:pPr>
            <w:pStyle w:val="TOC2"/>
            <w:tabs>
              <w:tab w:val="right" w:leader="dot" w:pos="9350"/>
            </w:tabs>
            <w:rPr>
              <w:noProof/>
            </w:rPr>
          </w:pPr>
          <w:hyperlink w:anchor="_Toc232375207" w:history="1">
            <w:r w:rsidRPr="00402CA2">
              <w:rPr>
                <w:rStyle w:val="Hyperlink"/>
                <w:noProof/>
              </w:rPr>
              <w:t>6.2 Interviews</w:t>
            </w:r>
            <w:r>
              <w:rPr>
                <w:noProof/>
              </w:rPr>
              <w:tab/>
            </w:r>
            <w:r>
              <w:rPr>
                <w:noProof/>
              </w:rPr>
              <w:fldChar w:fldCharType="begin"/>
            </w:r>
            <w:r>
              <w:rPr>
                <w:noProof/>
              </w:rPr>
              <w:instrText xml:space="preserve"> PAGEREF _Toc232375207 \h </w:instrText>
            </w:r>
            <w:r>
              <w:rPr>
                <w:noProof/>
              </w:rPr>
            </w:r>
            <w:r>
              <w:rPr>
                <w:noProof/>
              </w:rPr>
              <w:fldChar w:fldCharType="separate"/>
            </w:r>
            <w:r>
              <w:rPr>
                <w:noProof/>
              </w:rPr>
              <w:t>9</w:t>
            </w:r>
            <w:r>
              <w:rPr>
                <w:noProof/>
              </w:rPr>
              <w:fldChar w:fldCharType="end"/>
            </w:r>
          </w:hyperlink>
        </w:p>
        <w:p w14:paraId="7FAC353E" w14:textId="77777777" w:rsidR="002B2A64" w:rsidRDefault="002B2A64">
          <w:pPr>
            <w:pStyle w:val="TOC2"/>
            <w:tabs>
              <w:tab w:val="right" w:leader="dot" w:pos="9350"/>
            </w:tabs>
            <w:rPr>
              <w:noProof/>
            </w:rPr>
          </w:pPr>
          <w:hyperlink w:anchor="_Toc232375208" w:history="1">
            <w:r w:rsidRPr="00402CA2">
              <w:rPr>
                <w:rStyle w:val="Hyperlink"/>
                <w:noProof/>
              </w:rPr>
              <w:t>6.3 Preparing</w:t>
            </w:r>
            <w:r>
              <w:rPr>
                <w:noProof/>
              </w:rPr>
              <w:tab/>
            </w:r>
            <w:r>
              <w:rPr>
                <w:noProof/>
              </w:rPr>
              <w:fldChar w:fldCharType="begin"/>
            </w:r>
            <w:r>
              <w:rPr>
                <w:noProof/>
              </w:rPr>
              <w:instrText xml:space="preserve"> PAGEREF _Toc232375208 \h </w:instrText>
            </w:r>
            <w:r>
              <w:rPr>
                <w:noProof/>
              </w:rPr>
            </w:r>
            <w:r>
              <w:rPr>
                <w:noProof/>
              </w:rPr>
              <w:fldChar w:fldCharType="separate"/>
            </w:r>
            <w:r>
              <w:rPr>
                <w:noProof/>
              </w:rPr>
              <w:t>9</w:t>
            </w:r>
            <w:r>
              <w:rPr>
                <w:noProof/>
              </w:rPr>
              <w:fldChar w:fldCharType="end"/>
            </w:r>
          </w:hyperlink>
        </w:p>
        <w:p w14:paraId="0C8385E3" w14:textId="77777777" w:rsidR="002B2A64" w:rsidRDefault="002B2A64">
          <w:pPr>
            <w:pStyle w:val="TOC1"/>
            <w:tabs>
              <w:tab w:val="right" w:leader="dot" w:pos="9350"/>
            </w:tabs>
            <w:rPr>
              <w:noProof/>
            </w:rPr>
          </w:pPr>
          <w:hyperlink w:anchor="_Toc232375209" w:history="1">
            <w:r w:rsidRPr="00402CA2">
              <w:rPr>
                <w:rStyle w:val="Hyperlink"/>
                <w:noProof/>
              </w:rPr>
              <w:t>7. Finances: The Real Cost</w:t>
            </w:r>
            <w:r>
              <w:rPr>
                <w:noProof/>
              </w:rPr>
              <w:tab/>
            </w:r>
            <w:r>
              <w:rPr>
                <w:noProof/>
              </w:rPr>
              <w:fldChar w:fldCharType="begin"/>
            </w:r>
            <w:r>
              <w:rPr>
                <w:noProof/>
              </w:rPr>
              <w:instrText xml:space="preserve"> PAGEREF _Toc232375209 \h </w:instrText>
            </w:r>
            <w:r>
              <w:rPr>
                <w:noProof/>
              </w:rPr>
            </w:r>
            <w:r>
              <w:rPr>
                <w:noProof/>
              </w:rPr>
              <w:fldChar w:fldCharType="separate"/>
            </w:r>
            <w:r>
              <w:rPr>
                <w:noProof/>
              </w:rPr>
              <w:t>9</w:t>
            </w:r>
            <w:r>
              <w:rPr>
                <w:noProof/>
              </w:rPr>
              <w:fldChar w:fldCharType="end"/>
            </w:r>
          </w:hyperlink>
        </w:p>
        <w:p w14:paraId="2CB3FA68" w14:textId="77777777" w:rsidR="002B2A64" w:rsidRDefault="002B2A64">
          <w:pPr>
            <w:pStyle w:val="TOC2"/>
            <w:tabs>
              <w:tab w:val="right" w:leader="dot" w:pos="9350"/>
            </w:tabs>
            <w:rPr>
              <w:noProof/>
            </w:rPr>
          </w:pPr>
          <w:hyperlink w:anchor="_Toc232375210" w:history="1">
            <w:r w:rsidRPr="00402CA2">
              <w:rPr>
                <w:rStyle w:val="Hyperlink"/>
                <w:noProof/>
              </w:rPr>
              <w:t>7.1 Tuition fees</w:t>
            </w:r>
            <w:r>
              <w:rPr>
                <w:noProof/>
              </w:rPr>
              <w:tab/>
            </w:r>
            <w:r>
              <w:rPr>
                <w:noProof/>
              </w:rPr>
              <w:fldChar w:fldCharType="begin"/>
            </w:r>
            <w:r>
              <w:rPr>
                <w:noProof/>
              </w:rPr>
              <w:instrText xml:space="preserve"> PAGEREF _Toc232375210 \h </w:instrText>
            </w:r>
            <w:r>
              <w:rPr>
                <w:noProof/>
              </w:rPr>
            </w:r>
            <w:r>
              <w:rPr>
                <w:noProof/>
              </w:rPr>
              <w:fldChar w:fldCharType="separate"/>
            </w:r>
            <w:r>
              <w:rPr>
                <w:noProof/>
              </w:rPr>
              <w:t>9</w:t>
            </w:r>
            <w:r>
              <w:rPr>
                <w:noProof/>
              </w:rPr>
              <w:fldChar w:fldCharType="end"/>
            </w:r>
          </w:hyperlink>
        </w:p>
        <w:p w14:paraId="0F9A3051" w14:textId="77777777" w:rsidR="002B2A64" w:rsidRDefault="002B2A64">
          <w:pPr>
            <w:pStyle w:val="TOC2"/>
            <w:tabs>
              <w:tab w:val="right" w:leader="dot" w:pos="9350"/>
            </w:tabs>
            <w:rPr>
              <w:noProof/>
            </w:rPr>
          </w:pPr>
          <w:hyperlink w:anchor="_Toc232375211" w:history="1">
            <w:r w:rsidRPr="00402CA2">
              <w:rPr>
                <w:rStyle w:val="Hyperlink"/>
                <w:noProof/>
              </w:rPr>
              <w:t>7.2 Living costs and other expenses</w:t>
            </w:r>
            <w:r>
              <w:rPr>
                <w:noProof/>
              </w:rPr>
              <w:tab/>
            </w:r>
            <w:r>
              <w:rPr>
                <w:noProof/>
              </w:rPr>
              <w:fldChar w:fldCharType="begin"/>
            </w:r>
            <w:r>
              <w:rPr>
                <w:noProof/>
              </w:rPr>
              <w:instrText xml:space="preserve"> PAGEREF _Toc232375211 \h </w:instrText>
            </w:r>
            <w:r>
              <w:rPr>
                <w:noProof/>
              </w:rPr>
            </w:r>
            <w:r>
              <w:rPr>
                <w:noProof/>
              </w:rPr>
              <w:fldChar w:fldCharType="separate"/>
            </w:r>
            <w:r>
              <w:rPr>
                <w:noProof/>
              </w:rPr>
              <w:t>10</w:t>
            </w:r>
            <w:r>
              <w:rPr>
                <w:noProof/>
              </w:rPr>
              <w:fldChar w:fldCharType="end"/>
            </w:r>
          </w:hyperlink>
        </w:p>
        <w:p w14:paraId="293C404F" w14:textId="77777777" w:rsidR="002B2A64" w:rsidRDefault="002B2A64">
          <w:pPr>
            <w:pStyle w:val="TOC2"/>
            <w:tabs>
              <w:tab w:val="right" w:leader="dot" w:pos="9350"/>
            </w:tabs>
            <w:rPr>
              <w:noProof/>
            </w:rPr>
          </w:pPr>
          <w:hyperlink w:anchor="_Toc232375212" w:history="1">
            <w:r w:rsidRPr="00402CA2">
              <w:rPr>
                <w:rStyle w:val="Hyperlink"/>
                <w:noProof/>
              </w:rPr>
              <w:t>7.3 Funding routes</w:t>
            </w:r>
            <w:r>
              <w:rPr>
                <w:noProof/>
              </w:rPr>
              <w:tab/>
            </w:r>
            <w:r>
              <w:rPr>
                <w:noProof/>
              </w:rPr>
              <w:fldChar w:fldCharType="begin"/>
            </w:r>
            <w:r>
              <w:rPr>
                <w:noProof/>
              </w:rPr>
              <w:instrText xml:space="preserve"> PAGEREF _Toc232375212 \h </w:instrText>
            </w:r>
            <w:r>
              <w:rPr>
                <w:noProof/>
              </w:rPr>
            </w:r>
            <w:r>
              <w:rPr>
                <w:noProof/>
              </w:rPr>
              <w:fldChar w:fldCharType="separate"/>
            </w:r>
            <w:r>
              <w:rPr>
                <w:noProof/>
              </w:rPr>
              <w:t>10</w:t>
            </w:r>
            <w:r>
              <w:rPr>
                <w:noProof/>
              </w:rPr>
              <w:fldChar w:fldCharType="end"/>
            </w:r>
          </w:hyperlink>
        </w:p>
        <w:p w14:paraId="077BE8F9" w14:textId="77777777" w:rsidR="002B2A64" w:rsidRDefault="002B2A64">
          <w:pPr>
            <w:pStyle w:val="TOC1"/>
            <w:tabs>
              <w:tab w:val="right" w:leader="dot" w:pos="9350"/>
            </w:tabs>
            <w:rPr>
              <w:noProof/>
            </w:rPr>
          </w:pPr>
          <w:hyperlink w:anchor="_Toc232375213" w:history="1">
            <w:r w:rsidRPr="00402CA2">
              <w:rPr>
                <w:rStyle w:val="Hyperlink"/>
                <w:noProof/>
              </w:rPr>
              <w:t>8. Visas &amp; Immigration</w:t>
            </w:r>
            <w:r>
              <w:rPr>
                <w:noProof/>
              </w:rPr>
              <w:tab/>
            </w:r>
            <w:r>
              <w:rPr>
                <w:noProof/>
              </w:rPr>
              <w:fldChar w:fldCharType="begin"/>
            </w:r>
            <w:r>
              <w:rPr>
                <w:noProof/>
              </w:rPr>
              <w:instrText xml:space="preserve"> PAGEREF _Toc232375213 \h </w:instrText>
            </w:r>
            <w:r>
              <w:rPr>
                <w:noProof/>
              </w:rPr>
            </w:r>
            <w:r>
              <w:rPr>
                <w:noProof/>
              </w:rPr>
              <w:fldChar w:fldCharType="separate"/>
            </w:r>
            <w:r>
              <w:rPr>
                <w:noProof/>
              </w:rPr>
              <w:t>10</w:t>
            </w:r>
            <w:r>
              <w:rPr>
                <w:noProof/>
              </w:rPr>
              <w:fldChar w:fldCharType="end"/>
            </w:r>
          </w:hyperlink>
        </w:p>
        <w:p w14:paraId="37A55CDE" w14:textId="77777777" w:rsidR="002B2A64" w:rsidRDefault="002B2A64">
          <w:pPr>
            <w:pStyle w:val="TOC2"/>
            <w:tabs>
              <w:tab w:val="right" w:leader="dot" w:pos="9350"/>
            </w:tabs>
            <w:rPr>
              <w:noProof/>
            </w:rPr>
          </w:pPr>
          <w:hyperlink w:anchor="_Toc232375214" w:history="1">
            <w:r w:rsidRPr="00402CA2">
              <w:rPr>
                <w:rStyle w:val="Hyperlink"/>
                <w:noProof/>
              </w:rPr>
              <w:t>8.1 The Student visa</w:t>
            </w:r>
            <w:r>
              <w:rPr>
                <w:noProof/>
              </w:rPr>
              <w:tab/>
            </w:r>
            <w:r>
              <w:rPr>
                <w:noProof/>
              </w:rPr>
              <w:fldChar w:fldCharType="begin"/>
            </w:r>
            <w:r>
              <w:rPr>
                <w:noProof/>
              </w:rPr>
              <w:instrText xml:space="preserve"> PAGEREF _Toc232375214 \h </w:instrText>
            </w:r>
            <w:r>
              <w:rPr>
                <w:noProof/>
              </w:rPr>
            </w:r>
            <w:r>
              <w:rPr>
                <w:noProof/>
              </w:rPr>
              <w:fldChar w:fldCharType="separate"/>
            </w:r>
            <w:r>
              <w:rPr>
                <w:noProof/>
              </w:rPr>
              <w:t>10</w:t>
            </w:r>
            <w:r>
              <w:rPr>
                <w:noProof/>
              </w:rPr>
              <w:fldChar w:fldCharType="end"/>
            </w:r>
          </w:hyperlink>
        </w:p>
        <w:p w14:paraId="5DE88444" w14:textId="77777777" w:rsidR="002B2A64" w:rsidRDefault="002B2A64">
          <w:pPr>
            <w:pStyle w:val="TOC2"/>
            <w:tabs>
              <w:tab w:val="right" w:leader="dot" w:pos="9350"/>
            </w:tabs>
            <w:rPr>
              <w:noProof/>
            </w:rPr>
          </w:pPr>
          <w:hyperlink w:anchor="_Toc232375215" w:history="1">
            <w:r w:rsidRPr="00402CA2">
              <w:rPr>
                <w:rStyle w:val="Hyperlink"/>
                <w:noProof/>
              </w:rPr>
              <w:t>8.2 Financial evidence</w:t>
            </w:r>
            <w:r>
              <w:rPr>
                <w:noProof/>
              </w:rPr>
              <w:tab/>
            </w:r>
            <w:r>
              <w:rPr>
                <w:noProof/>
              </w:rPr>
              <w:fldChar w:fldCharType="begin"/>
            </w:r>
            <w:r>
              <w:rPr>
                <w:noProof/>
              </w:rPr>
              <w:instrText xml:space="preserve"> PAGEREF _Toc232375215 \h </w:instrText>
            </w:r>
            <w:r>
              <w:rPr>
                <w:noProof/>
              </w:rPr>
            </w:r>
            <w:r>
              <w:rPr>
                <w:noProof/>
              </w:rPr>
              <w:fldChar w:fldCharType="separate"/>
            </w:r>
            <w:r>
              <w:rPr>
                <w:noProof/>
              </w:rPr>
              <w:t>11</w:t>
            </w:r>
            <w:r>
              <w:rPr>
                <w:noProof/>
              </w:rPr>
              <w:fldChar w:fldCharType="end"/>
            </w:r>
          </w:hyperlink>
        </w:p>
        <w:p w14:paraId="3C2719D1" w14:textId="77777777" w:rsidR="002B2A64" w:rsidRDefault="002B2A64">
          <w:pPr>
            <w:pStyle w:val="TOC2"/>
            <w:tabs>
              <w:tab w:val="right" w:leader="dot" w:pos="9350"/>
            </w:tabs>
            <w:rPr>
              <w:noProof/>
            </w:rPr>
          </w:pPr>
          <w:hyperlink w:anchor="_Toc232375216" w:history="1">
            <w:r w:rsidRPr="00402CA2">
              <w:rPr>
                <w:rStyle w:val="Hyperlink"/>
                <w:noProof/>
              </w:rPr>
              <w:t>8.3 Working and after graduation</w:t>
            </w:r>
            <w:r>
              <w:rPr>
                <w:noProof/>
              </w:rPr>
              <w:tab/>
            </w:r>
            <w:r>
              <w:rPr>
                <w:noProof/>
              </w:rPr>
              <w:fldChar w:fldCharType="begin"/>
            </w:r>
            <w:r>
              <w:rPr>
                <w:noProof/>
              </w:rPr>
              <w:instrText xml:space="preserve"> PAGEREF _Toc232375216 \h </w:instrText>
            </w:r>
            <w:r>
              <w:rPr>
                <w:noProof/>
              </w:rPr>
            </w:r>
            <w:r>
              <w:rPr>
                <w:noProof/>
              </w:rPr>
              <w:fldChar w:fldCharType="separate"/>
            </w:r>
            <w:r>
              <w:rPr>
                <w:noProof/>
              </w:rPr>
              <w:t>11</w:t>
            </w:r>
            <w:r>
              <w:rPr>
                <w:noProof/>
              </w:rPr>
              <w:fldChar w:fldCharType="end"/>
            </w:r>
          </w:hyperlink>
        </w:p>
        <w:p w14:paraId="43163D18" w14:textId="77777777" w:rsidR="002B2A64" w:rsidRDefault="002B2A64">
          <w:pPr>
            <w:pStyle w:val="TOC1"/>
            <w:tabs>
              <w:tab w:val="right" w:leader="dot" w:pos="9350"/>
            </w:tabs>
            <w:rPr>
              <w:noProof/>
            </w:rPr>
          </w:pPr>
          <w:hyperlink w:anchor="_Toc232375217" w:history="1">
            <w:r w:rsidRPr="00402CA2">
              <w:rPr>
                <w:rStyle w:val="Hyperlink"/>
                <w:noProof/>
              </w:rPr>
              <w:t>9. Notes for Applicants from Korea</w:t>
            </w:r>
            <w:r>
              <w:rPr>
                <w:noProof/>
              </w:rPr>
              <w:tab/>
            </w:r>
            <w:r>
              <w:rPr>
                <w:noProof/>
              </w:rPr>
              <w:fldChar w:fldCharType="begin"/>
            </w:r>
            <w:r>
              <w:rPr>
                <w:noProof/>
              </w:rPr>
              <w:instrText xml:space="preserve"> PAGEREF _Toc232375217 \h </w:instrText>
            </w:r>
            <w:r>
              <w:rPr>
                <w:noProof/>
              </w:rPr>
            </w:r>
            <w:r>
              <w:rPr>
                <w:noProof/>
              </w:rPr>
              <w:fldChar w:fldCharType="separate"/>
            </w:r>
            <w:r>
              <w:rPr>
                <w:noProof/>
              </w:rPr>
              <w:t>11</w:t>
            </w:r>
            <w:r>
              <w:rPr>
                <w:noProof/>
              </w:rPr>
              <w:fldChar w:fldCharType="end"/>
            </w:r>
          </w:hyperlink>
        </w:p>
        <w:p w14:paraId="47329736" w14:textId="77777777" w:rsidR="002B2A64" w:rsidRDefault="002B2A64">
          <w:pPr>
            <w:pStyle w:val="TOC1"/>
            <w:tabs>
              <w:tab w:val="right" w:leader="dot" w:pos="9350"/>
            </w:tabs>
            <w:rPr>
              <w:noProof/>
            </w:rPr>
          </w:pPr>
          <w:hyperlink w:anchor="_Toc232375218" w:history="1">
            <w:r w:rsidRPr="00402CA2">
              <w:rPr>
                <w:rStyle w:val="Hyperlink"/>
                <w:noProof/>
              </w:rPr>
              <w:t>10. Quick-Reference C</w:t>
            </w:r>
            <w:r w:rsidRPr="00402CA2">
              <w:rPr>
                <w:rStyle w:val="Hyperlink"/>
                <w:noProof/>
              </w:rPr>
              <w:t>h</w:t>
            </w:r>
            <w:r w:rsidRPr="00402CA2">
              <w:rPr>
                <w:rStyle w:val="Hyperlink"/>
                <w:noProof/>
              </w:rPr>
              <w:t>ecklist</w:t>
            </w:r>
            <w:r>
              <w:rPr>
                <w:noProof/>
              </w:rPr>
              <w:tab/>
            </w:r>
            <w:r>
              <w:rPr>
                <w:noProof/>
              </w:rPr>
              <w:fldChar w:fldCharType="begin"/>
            </w:r>
            <w:r>
              <w:rPr>
                <w:noProof/>
              </w:rPr>
              <w:instrText xml:space="preserve"> PAGEREF _Toc232375218 \h </w:instrText>
            </w:r>
            <w:r>
              <w:rPr>
                <w:noProof/>
              </w:rPr>
            </w:r>
            <w:r>
              <w:rPr>
                <w:noProof/>
              </w:rPr>
              <w:fldChar w:fldCharType="separate"/>
            </w:r>
            <w:r>
              <w:rPr>
                <w:noProof/>
              </w:rPr>
              <w:t>11</w:t>
            </w:r>
            <w:r>
              <w:rPr>
                <w:noProof/>
              </w:rPr>
              <w:fldChar w:fldCharType="end"/>
            </w:r>
          </w:hyperlink>
        </w:p>
        <w:p w14:paraId="7ADFD61E" w14:textId="77777777" w:rsidR="002B2A64" w:rsidRDefault="002B2A64">
          <w:pPr>
            <w:pStyle w:val="TOC1"/>
            <w:tabs>
              <w:tab w:val="right" w:leader="dot" w:pos="9350"/>
            </w:tabs>
            <w:rPr>
              <w:noProof/>
            </w:rPr>
          </w:pPr>
          <w:hyperlink w:anchor="_Toc232375219" w:history="1">
            <w:r w:rsidRPr="00402CA2">
              <w:rPr>
                <w:rStyle w:val="Hyperlink"/>
                <w:noProof/>
              </w:rPr>
              <w:t>11. Official Resources</w:t>
            </w:r>
            <w:r>
              <w:rPr>
                <w:noProof/>
              </w:rPr>
              <w:tab/>
            </w:r>
            <w:r>
              <w:rPr>
                <w:noProof/>
              </w:rPr>
              <w:fldChar w:fldCharType="begin"/>
            </w:r>
            <w:r>
              <w:rPr>
                <w:noProof/>
              </w:rPr>
              <w:instrText xml:space="preserve"> PAGEREF _Toc232375219 \h </w:instrText>
            </w:r>
            <w:r>
              <w:rPr>
                <w:noProof/>
              </w:rPr>
            </w:r>
            <w:r>
              <w:rPr>
                <w:noProof/>
              </w:rPr>
              <w:fldChar w:fldCharType="separate"/>
            </w:r>
            <w:r>
              <w:rPr>
                <w:noProof/>
              </w:rPr>
              <w:t>12</w:t>
            </w:r>
            <w:r>
              <w:rPr>
                <w:noProof/>
              </w:rPr>
              <w:fldChar w:fldCharType="end"/>
            </w:r>
          </w:hyperlink>
        </w:p>
        <w:p w14:paraId="7826457D" w14:textId="77777777" w:rsidR="00341F21" w:rsidRDefault="00000000">
          <w:r>
            <w:lastRenderedPageBreak/>
            <w:fldChar w:fldCharType="end"/>
          </w:r>
        </w:p>
      </w:sdtContent>
    </w:sdt>
    <w:p w14:paraId="6F44D1B4" w14:textId="77777777" w:rsidR="00341F21" w:rsidRDefault="00000000">
      <w:r>
        <w:br w:type="page"/>
      </w:r>
    </w:p>
    <w:p w14:paraId="3E2DEBFD" w14:textId="77777777" w:rsidR="00341F21" w:rsidRDefault="00000000">
      <w:pPr>
        <w:pStyle w:val="Heading1"/>
      </w:pPr>
      <w:bookmarkStart w:id="1" w:name="_Toc232375185"/>
      <w:r>
        <w:lastRenderedPageBreak/>
        <w:t>About This Guide</w:t>
      </w:r>
      <w:bookmarkEnd w:id="1"/>
    </w:p>
    <w:p w14:paraId="02C31DA8" w14:textId="77777777" w:rsidR="00341F21" w:rsidRDefault="00000000">
      <w:pPr>
        <w:spacing w:after="120" w:line="276" w:lineRule="auto"/>
      </w:pPr>
      <w:r>
        <w:t>This handbook is written for international (overseas fee-status) applicants to UK undergraduate medicine — the MBBS / MBChB / MBBCh degree. It covers the full journey: choosing schools, the UCAT, the personal statement, references, interviews, offers, visas, and finances.</w:t>
      </w:r>
    </w:p>
    <w:p w14:paraId="12557A38" w14:textId="77777777" w:rsidR="00341F21" w:rsidRDefault="00000000">
      <w:pPr>
        <w:spacing w:after="120" w:line="276" w:lineRule="auto"/>
      </w:pPr>
      <w:r>
        <w:t>It reflects the single biggest change to UK medical admissions in two decades: the BMAT no longer exists, and the UCAT is now the only admissions test in UK medicine. We have written everything below around the current, post-2025 landscape.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41F21" w14:paraId="5D5830BA" w14:textId="77777777">
        <w:tblPrEx>
          <w:tblCellMar>
            <w:top w:w="0" w:type="dxa"/>
            <w:bottom w:w="0" w:type="dxa"/>
          </w:tblCellMar>
        </w:tblPrEx>
        <w:tc>
          <w:tcPr>
            <w:tcW w:w="9360" w:type="dxa"/>
            <w:tcBorders>
              <w:left w:val="single" w:sz="18" w:space="0" w:color="C0392B"/>
            </w:tcBorders>
            <w:shd w:val="clear" w:color="auto" w:fill="FBEAEA"/>
            <w:tcMar>
              <w:top w:w="120" w:type="dxa"/>
              <w:left w:w="200" w:type="dxa"/>
              <w:bottom w:w="120" w:type="dxa"/>
              <w:right w:w="200" w:type="dxa"/>
            </w:tcMar>
          </w:tcPr>
          <w:p w14:paraId="743E750F" w14:textId="77777777" w:rsidR="00341F21" w:rsidRDefault="00000000">
            <w:pPr>
              <w:spacing w:after="60"/>
            </w:pPr>
            <w:r>
              <w:rPr>
                <w:b/>
                <w:bCs/>
                <w:color w:val="C0392B"/>
                <w:sz w:val="22"/>
                <w:szCs w:val="22"/>
              </w:rPr>
              <w:t>Important: verify before you rely</w:t>
            </w:r>
          </w:p>
          <w:p w14:paraId="1B1DB291" w14:textId="77777777" w:rsidR="00341F21" w:rsidRDefault="00000000">
            <w:r>
              <w:t>Admissions rules, fees, visa thresholds and UCAT thresholds change every cycle. Every figure here is a planning estimate for the 2026–27 cycle. Always confirm against the individual medical school’s admissions page, UCAS, the official UCAT site, and GOV.UK before making decisions. KUMAS provides this guide for general information and cannot accept responsibility for individual application outcomes.</w:t>
            </w:r>
          </w:p>
        </w:tc>
      </w:tr>
    </w:tbl>
    <w:p w14:paraId="1B52376C" w14:textId="77777777" w:rsidR="00341F21" w:rsidRDefault="00341F21">
      <w:pPr>
        <w:spacing w:after="160"/>
      </w:pPr>
    </w:p>
    <w:p w14:paraId="3C24FAA2" w14:textId="77777777" w:rsidR="00341F21" w:rsidRDefault="00000000">
      <w:pPr>
        <w:pStyle w:val="Heading1"/>
      </w:pPr>
      <w:bookmarkStart w:id="2" w:name="_Toc232375186"/>
      <w:r>
        <w:t>1. The UK Medical Admissions Landscape</w:t>
      </w:r>
      <w:bookmarkEnd w:id="2"/>
    </w:p>
    <w:p w14:paraId="71AFEEDE" w14:textId="77777777" w:rsidR="00341F21" w:rsidRDefault="00000000">
      <w:pPr>
        <w:pStyle w:val="Heading2"/>
      </w:pPr>
      <w:bookmarkStart w:id="3" w:name="_Toc232375187"/>
      <w:r>
        <w:t>1.1 What a UK medical degree looks like</w:t>
      </w:r>
      <w:bookmarkEnd w:id="3"/>
    </w:p>
    <w:p w14:paraId="056BA892" w14:textId="77777777" w:rsidR="00341F21" w:rsidRDefault="00000000">
      <w:pPr>
        <w:spacing w:after="120" w:line="276" w:lineRule="auto"/>
      </w:pPr>
      <w:r>
        <w:t>UK medicine is an undergraduate degree entered directly from secondary school — you do not need a prior bachelor’s degree (unlike the US or Korea). The primary qualification is the MBBS, MBChB or MBBCh, which are equivalent.</w:t>
      </w:r>
    </w:p>
    <w:p w14:paraId="0E2EAE80" w14:textId="77777777" w:rsidR="00341F21" w:rsidRDefault="00000000">
      <w:pPr>
        <w:pStyle w:val="ListParagraph"/>
        <w:numPr>
          <w:ilvl w:val="0"/>
          <w:numId w:val="2"/>
        </w:numPr>
        <w:spacing w:after="60" w:line="268" w:lineRule="auto"/>
      </w:pPr>
      <w:r>
        <w:t>Most English, Welsh and Northern Irish courses run 5–6 years.</w:t>
      </w:r>
    </w:p>
    <w:p w14:paraId="2FE92697" w14:textId="77777777" w:rsidR="00341F21" w:rsidRDefault="00000000">
      <w:pPr>
        <w:pStyle w:val="ListParagraph"/>
        <w:numPr>
          <w:ilvl w:val="0"/>
          <w:numId w:val="2"/>
        </w:numPr>
        <w:spacing w:after="60" w:line="268" w:lineRule="auto"/>
      </w:pPr>
      <w:r>
        <w:t>Most Scottish courses (e.g. Glasgow, Edinburgh, Aberdeen, Dundee) run 5 years.</w:t>
      </w:r>
    </w:p>
    <w:p w14:paraId="1E7A2A47" w14:textId="77777777" w:rsidR="00341F21" w:rsidRDefault="00000000">
      <w:pPr>
        <w:pStyle w:val="ListParagraph"/>
        <w:numPr>
          <w:ilvl w:val="0"/>
          <w:numId w:val="2"/>
        </w:numPr>
        <w:spacing w:after="60" w:line="268" w:lineRule="auto"/>
      </w:pPr>
      <w:r>
        <w:t>Many courses include an intercalated BSc year (an extra research year), adding one year.</w:t>
      </w:r>
    </w:p>
    <w:p w14:paraId="4FB49AD7" w14:textId="77777777" w:rsidR="00341F21" w:rsidRDefault="00000000">
      <w:pPr>
        <w:pStyle w:val="ListParagraph"/>
        <w:numPr>
          <w:ilvl w:val="0"/>
          <w:numId w:val="2"/>
        </w:numPr>
        <w:spacing w:after="60" w:line="268" w:lineRule="auto"/>
      </w:pPr>
      <w:r>
        <w:t>A foundation/gateway year may add a year for those who need a science bridge.</w:t>
      </w:r>
    </w:p>
    <w:p w14:paraId="5EA51B05" w14:textId="77777777" w:rsidR="00341F21" w:rsidRDefault="00000000">
      <w:pPr>
        <w:spacing w:after="120" w:line="276" w:lineRule="auto"/>
      </w:pPr>
      <w:r>
        <w:t xml:space="preserve">After graduation, doctors enter the two-year Foundation </w:t>
      </w:r>
      <w:proofErr w:type="spellStart"/>
      <w:r>
        <w:t>Programme</w:t>
      </w:r>
      <w:proofErr w:type="spellEnd"/>
      <w:r>
        <w:t xml:space="preserve">. International graduates can </w:t>
      </w:r>
      <w:proofErr w:type="gramStart"/>
      <w:r>
        <w:t>apply, but</w:t>
      </w:r>
      <w:proofErr w:type="gramEnd"/>
      <w:r>
        <w:t xml:space="preserve"> should plan early around post-study work and registration — covered in Section 8.</w:t>
      </w:r>
    </w:p>
    <w:p w14:paraId="7F0A84C0" w14:textId="77777777" w:rsidR="00341F21" w:rsidRDefault="00000000">
      <w:pPr>
        <w:pStyle w:val="Heading2"/>
      </w:pPr>
      <w:bookmarkStart w:id="4" w:name="_Toc232375188"/>
      <w:r>
        <w:t>1.2 The big change: BMAT is gone</w:t>
      </w:r>
      <w:bookmarkEnd w:id="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41F21" w14:paraId="54D13D1E" w14:textId="77777777">
        <w:tblPrEx>
          <w:tblCellMar>
            <w:top w:w="0" w:type="dxa"/>
            <w:bottom w:w="0" w:type="dxa"/>
          </w:tblCellMar>
        </w:tblPrEx>
        <w:tc>
          <w:tcPr>
            <w:tcW w:w="9360" w:type="dxa"/>
            <w:tcBorders>
              <w:left w:val="single" w:sz="18" w:space="0" w:color="2E5A88"/>
            </w:tcBorders>
            <w:shd w:val="clear" w:color="auto" w:fill="EAF0F6"/>
            <w:tcMar>
              <w:top w:w="120" w:type="dxa"/>
              <w:left w:w="200" w:type="dxa"/>
              <w:bottom w:w="120" w:type="dxa"/>
              <w:right w:w="200" w:type="dxa"/>
            </w:tcMar>
          </w:tcPr>
          <w:p w14:paraId="5193B635" w14:textId="77777777" w:rsidR="00341F21" w:rsidRDefault="00000000">
            <w:pPr>
              <w:spacing w:after="60"/>
            </w:pPr>
            <w:r>
              <w:rPr>
                <w:b/>
                <w:bCs/>
                <w:color w:val="2E5A88"/>
                <w:sz w:val="22"/>
                <w:szCs w:val="22"/>
              </w:rPr>
              <w:t>BMAT discontinued — UCAT is now universal</w:t>
            </w:r>
          </w:p>
          <w:p w14:paraId="2AC1DDDB" w14:textId="77777777" w:rsidR="00341F21" w:rsidRDefault="00000000">
            <w:pPr>
              <w:spacing w:after="120" w:line="276" w:lineRule="auto"/>
            </w:pPr>
            <w:r>
              <w:t>Cambridge Assessment stopped producing the BMAT after the final November 2023 sitting. From the 2024 cycle onward, every UK medical school uses the UCAT (or, for a handful of graduate courses, the GAMSAT).</w:t>
            </w:r>
          </w:p>
          <w:p w14:paraId="6A68E2CA" w14:textId="77777777" w:rsidR="00341F21" w:rsidRDefault="00000000">
            <w:pPr>
              <w:spacing w:after="120" w:line="276" w:lineRule="auto"/>
            </w:pPr>
            <w:r>
              <w:t>The former BMAT schools — Oxford, Cambridge, Imperial, UCL, Leeds, Lancaster, and Brighton &amp; Sussex — have all moved across. There is no longer a second test to choose between.</w:t>
            </w:r>
          </w:p>
        </w:tc>
      </w:tr>
    </w:tbl>
    <w:p w14:paraId="7A228AA7" w14:textId="77777777" w:rsidR="00341F21" w:rsidRDefault="00000000">
      <w:pPr>
        <w:spacing w:after="120" w:line="276" w:lineRule="auto"/>
      </w:pPr>
      <w:r>
        <w:t>Practical consequence: if you find old guides, YouTube videos, or prep books telling you to study BMAT science content, ignore them. They are out of date. Your test is the UCAT, and your science preparation goes into your A-level / IB / equivalent exams, not a separate admissions test.</w:t>
      </w:r>
    </w:p>
    <w:p w14:paraId="1A2E11F2" w14:textId="77777777" w:rsidR="00341F21" w:rsidRDefault="00000000">
      <w:pPr>
        <w:pStyle w:val="Heading2"/>
      </w:pPr>
      <w:bookmarkStart w:id="5" w:name="_Toc232375189"/>
      <w:r>
        <w:lastRenderedPageBreak/>
        <w:t>1.3 The application skeleton</w:t>
      </w:r>
      <w:bookmarkEnd w:id="5"/>
    </w:p>
    <w:p w14:paraId="74732C54" w14:textId="77777777" w:rsidR="00341F21" w:rsidRDefault="00000000">
      <w:pPr>
        <w:pStyle w:val="ListParagraph"/>
        <w:numPr>
          <w:ilvl w:val="0"/>
          <w:numId w:val="3"/>
        </w:numPr>
        <w:spacing w:after="60" w:line="268" w:lineRule="auto"/>
      </w:pPr>
      <w:r>
        <w:t>Pick up to 4 medical schools (UCAS allows 5 choices, but only 4 can be medicine; the 5th is a non-medicine ‘insurance’ backup).</w:t>
      </w:r>
    </w:p>
    <w:p w14:paraId="0178944C" w14:textId="77777777" w:rsidR="00341F21" w:rsidRDefault="00000000">
      <w:pPr>
        <w:pStyle w:val="ListParagraph"/>
        <w:numPr>
          <w:ilvl w:val="0"/>
          <w:numId w:val="3"/>
        </w:numPr>
        <w:spacing w:after="60" w:line="268" w:lineRule="auto"/>
      </w:pPr>
      <w:r>
        <w:t>Sit the UCAT in the summer before you apply.</w:t>
      </w:r>
    </w:p>
    <w:p w14:paraId="09DDCBCE" w14:textId="77777777" w:rsidR="00341F21" w:rsidRDefault="00000000">
      <w:pPr>
        <w:pStyle w:val="ListParagraph"/>
        <w:numPr>
          <w:ilvl w:val="0"/>
          <w:numId w:val="3"/>
        </w:numPr>
        <w:spacing w:after="60" w:line="268" w:lineRule="auto"/>
      </w:pPr>
      <w:r>
        <w:t>Submit one UCAS application (personal statement + reference + grades) by the mid-October medicine deadline.</w:t>
      </w:r>
    </w:p>
    <w:p w14:paraId="1CE0470D" w14:textId="77777777" w:rsidR="00341F21" w:rsidRDefault="00000000">
      <w:pPr>
        <w:pStyle w:val="ListParagraph"/>
        <w:numPr>
          <w:ilvl w:val="0"/>
          <w:numId w:val="3"/>
        </w:numPr>
        <w:spacing w:after="60" w:line="268" w:lineRule="auto"/>
      </w:pPr>
      <w:r>
        <w:t>Attend interviews (almost always MMI or panel) from November to March.</w:t>
      </w:r>
    </w:p>
    <w:p w14:paraId="631278F4" w14:textId="77777777" w:rsidR="00341F21" w:rsidRDefault="00000000">
      <w:pPr>
        <w:pStyle w:val="ListParagraph"/>
        <w:numPr>
          <w:ilvl w:val="0"/>
          <w:numId w:val="3"/>
        </w:numPr>
        <w:spacing w:after="60" w:line="268" w:lineRule="auto"/>
      </w:pPr>
      <w:r>
        <w:t>Receive offers, firm/insurance your choices, then meet conditions and apply for your visa.</w:t>
      </w:r>
    </w:p>
    <w:p w14:paraId="56B705D0" w14:textId="77777777" w:rsidR="00341F21" w:rsidRDefault="00341F21">
      <w:pPr>
        <w:spacing w:after="160"/>
      </w:pPr>
    </w:p>
    <w:p w14:paraId="4666E4A3" w14:textId="77777777" w:rsidR="00341F21" w:rsidRDefault="00000000">
      <w:pPr>
        <w:pStyle w:val="Heading1"/>
      </w:pPr>
      <w:bookmarkStart w:id="6" w:name="_Toc232375190"/>
      <w:r>
        <w:t>2. Eligibility, Academics &amp; Timeline</w:t>
      </w:r>
      <w:bookmarkEnd w:id="6"/>
    </w:p>
    <w:p w14:paraId="745E2684" w14:textId="77777777" w:rsidR="00341F21" w:rsidRDefault="00000000">
      <w:pPr>
        <w:pStyle w:val="Heading2"/>
      </w:pPr>
      <w:bookmarkStart w:id="7" w:name="_Toc232375191"/>
      <w:r>
        <w:t>2.1 Academic requirements</w:t>
      </w:r>
      <w:bookmarkEnd w:id="7"/>
    </w:p>
    <w:p w14:paraId="5AF885F8" w14:textId="77777777" w:rsidR="00341F21" w:rsidRDefault="00000000">
      <w:pPr>
        <w:spacing w:after="120" w:line="276" w:lineRule="auto"/>
      </w:pPr>
      <w:r>
        <w:t>Typical offers cluster around A*AA–AAA at A-level, or 36–39 in the IB, but requirements vary by school and qualification. The two near-universal rules:</w:t>
      </w:r>
    </w:p>
    <w:p w14:paraId="0B386A37" w14:textId="77777777" w:rsidR="00341F21" w:rsidRDefault="00000000">
      <w:pPr>
        <w:pStyle w:val="ListParagraph"/>
        <w:numPr>
          <w:ilvl w:val="0"/>
          <w:numId w:val="2"/>
        </w:numPr>
        <w:spacing w:after="60" w:line="268" w:lineRule="auto"/>
      </w:pPr>
      <w:r>
        <w:rPr>
          <w:b/>
          <w:bCs/>
        </w:rPr>
        <w:t xml:space="preserve">Chemistry </w:t>
      </w:r>
      <w:r>
        <w:t>is required almost everywhere.</w:t>
      </w:r>
    </w:p>
    <w:p w14:paraId="0E4F81C5" w14:textId="77777777" w:rsidR="00341F21" w:rsidRDefault="00000000">
      <w:pPr>
        <w:pStyle w:val="ListParagraph"/>
        <w:numPr>
          <w:ilvl w:val="0"/>
          <w:numId w:val="2"/>
        </w:numPr>
        <w:spacing w:after="60" w:line="268" w:lineRule="auto"/>
      </w:pPr>
      <w:r>
        <w:rPr>
          <w:b/>
          <w:bCs/>
        </w:rPr>
        <w:t xml:space="preserve">Biology </w:t>
      </w:r>
      <w:r>
        <w:t>is required or strongly preferred at most schools; many want both Chemistry and Biology.</w:t>
      </w:r>
    </w:p>
    <w:p w14:paraId="1B32287A" w14:textId="77777777" w:rsidR="00341F21" w:rsidRDefault="00000000">
      <w:pPr>
        <w:spacing w:after="120" w:line="276" w:lineRule="auto"/>
      </w:pPr>
      <w:r>
        <w:t xml:space="preserve">International qualifications (e.g. Korean </w:t>
      </w:r>
      <w:proofErr w:type="spellStart"/>
      <w:r>
        <w:t>Suneung</w:t>
      </w:r>
      <w:proofErr w:type="spellEnd"/>
      <w:r>
        <w:t xml:space="preserve">/CSAT plus additional study, AP, Advanced Placement, national high-school diplomas, or a completed first year of university) are assessed case-by-case. Most schools publish an ‘international qualifications’ equivalency page — check it directly, because a Korean high-school diploma alone is frequently not sufficient and may need supplementing with A-levels, IB, or a </w:t>
      </w:r>
      <w:proofErr w:type="spellStart"/>
      <w:r>
        <w:t>recognised</w:t>
      </w:r>
      <w:proofErr w:type="spellEnd"/>
      <w:r>
        <w:t xml:space="preserve"> foundation route.</w:t>
      </w:r>
    </w:p>
    <w:p w14:paraId="6E4795DA" w14:textId="77777777" w:rsidR="00341F21" w:rsidRDefault="00000000">
      <w:pPr>
        <w:pStyle w:val="Heading2"/>
      </w:pPr>
      <w:bookmarkStart w:id="8" w:name="_Toc232375192"/>
      <w:r>
        <w:t>2.2 English language</w:t>
      </w:r>
      <w:bookmarkEnd w:id="8"/>
    </w:p>
    <w:p w14:paraId="4B4CBB9D" w14:textId="77777777" w:rsidR="00341F21" w:rsidRDefault="00000000">
      <w:pPr>
        <w:spacing w:after="120" w:line="276" w:lineRule="auto"/>
      </w:pPr>
      <w:r>
        <w:t xml:space="preserve">As a regulated healthcare course, medicine sets a high English bar — typically IELTS Academic around 7.0–7.5 overall with no sub-score below 7.0, or the OET equivalent. Confirm the exact threshold per </w:t>
      </w:r>
      <w:proofErr w:type="gramStart"/>
      <w:r>
        <w:t>school, and</w:t>
      </w:r>
      <w:proofErr w:type="gramEnd"/>
      <w:r>
        <w:t xml:space="preserve"> book the test early; slots fill up.</w:t>
      </w:r>
    </w:p>
    <w:p w14:paraId="59C653C5" w14:textId="77777777" w:rsidR="00341F21" w:rsidRDefault="00000000">
      <w:pPr>
        <w:pStyle w:val="Heading2"/>
      </w:pPr>
      <w:bookmarkStart w:id="9" w:name="_Toc232375193"/>
      <w:r>
        <w:t>2.3 The cycle timeline</w:t>
      </w:r>
      <w:bookmarkEnd w:id="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
        <w:gridCol w:w="1674"/>
        <w:gridCol w:w="4051"/>
        <w:gridCol w:w="3591"/>
        <w:gridCol w:w="22"/>
      </w:tblGrid>
      <w:tr w:rsidR="00341F21" w14:paraId="7A0A63C2" w14:textId="77777777">
        <w:tblPrEx>
          <w:tblCellMar>
            <w:top w:w="0" w:type="dxa"/>
            <w:bottom w:w="0" w:type="dxa"/>
          </w:tblCellMar>
        </w:tblPrEx>
        <w:trPr>
          <w:gridAfter w:val="1"/>
          <w:wAfter w:w="22" w:type="dxa"/>
          <w:tblHeader/>
        </w:trPr>
        <w:tc>
          <w:tcPr>
            <w:tcW w:w="1700" w:type="dxa"/>
            <w:gridSpan w:val="2"/>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vAlign w:val="center"/>
          </w:tcPr>
          <w:p w14:paraId="28888F53" w14:textId="77777777" w:rsidR="00341F21" w:rsidRDefault="00000000">
            <w:r>
              <w:rPr>
                <w:b/>
                <w:bCs/>
                <w:color w:val="FFFFFF"/>
                <w:sz w:val="20"/>
                <w:szCs w:val="20"/>
              </w:rPr>
              <w:t>When</w:t>
            </w:r>
          </w:p>
        </w:tc>
        <w:tc>
          <w:tcPr>
            <w:tcW w:w="406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vAlign w:val="center"/>
          </w:tcPr>
          <w:p w14:paraId="19EF2611" w14:textId="77777777" w:rsidR="00341F21" w:rsidRDefault="00000000">
            <w:r>
              <w:rPr>
                <w:b/>
                <w:bCs/>
                <w:color w:val="FFFFFF"/>
                <w:sz w:val="20"/>
                <w:szCs w:val="20"/>
              </w:rPr>
              <w:t>What happens</w:t>
            </w:r>
          </w:p>
        </w:tc>
        <w:tc>
          <w:tcPr>
            <w:tcW w:w="36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vAlign w:val="center"/>
          </w:tcPr>
          <w:p w14:paraId="06941586" w14:textId="77777777" w:rsidR="00341F21" w:rsidRDefault="00000000">
            <w:r>
              <w:rPr>
                <w:b/>
                <w:bCs/>
                <w:color w:val="FFFFFF"/>
                <w:sz w:val="20"/>
                <w:szCs w:val="20"/>
              </w:rPr>
              <w:t>International-specific notes</w:t>
            </w:r>
          </w:p>
        </w:tc>
      </w:tr>
      <w:tr w:rsidR="00341F21" w14:paraId="0EE98DA9" w14:textId="77777777">
        <w:tblPrEx>
          <w:tblCellMar>
            <w:top w:w="0" w:type="dxa"/>
            <w:bottom w:w="0" w:type="dxa"/>
          </w:tblCellMar>
        </w:tblPrEx>
        <w:trPr>
          <w:gridAfter w:val="1"/>
          <w:wAfter w:w="22" w:type="dxa"/>
        </w:trPr>
        <w:tc>
          <w:tcPr>
            <w:tcW w:w="1700" w:type="dxa"/>
            <w:gridSpan w:val="2"/>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7BA1FE83" w14:textId="77777777" w:rsidR="00341F21" w:rsidRDefault="00000000">
            <w:r>
              <w:rPr>
                <w:sz w:val="19"/>
                <w:szCs w:val="19"/>
              </w:rPr>
              <w:t>12–18 months before</w:t>
            </w:r>
          </w:p>
        </w:tc>
        <w:tc>
          <w:tcPr>
            <w:tcW w:w="40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10ADDD28" w14:textId="77777777" w:rsidR="00341F21" w:rsidRDefault="00000000">
            <w:r>
              <w:rPr>
                <w:sz w:val="19"/>
                <w:szCs w:val="19"/>
              </w:rPr>
              <w:t>Research schools; build clinical/volunteering experience; sit IELTS if needed</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7909FADB" w14:textId="77777777" w:rsidR="00341F21" w:rsidRDefault="00000000">
            <w:r>
              <w:rPr>
                <w:sz w:val="19"/>
                <w:szCs w:val="19"/>
              </w:rPr>
              <w:t>Start early — references and transcripts from overseas schools take time</w:t>
            </w:r>
          </w:p>
        </w:tc>
      </w:tr>
      <w:tr w:rsidR="00341F21" w14:paraId="4C7E481E" w14:textId="77777777">
        <w:tblPrEx>
          <w:tblCellMar>
            <w:top w:w="0" w:type="dxa"/>
            <w:bottom w:w="0" w:type="dxa"/>
          </w:tblCellMar>
        </w:tblPrEx>
        <w:trPr>
          <w:gridAfter w:val="1"/>
          <w:wAfter w:w="22" w:type="dxa"/>
        </w:trPr>
        <w:tc>
          <w:tcPr>
            <w:tcW w:w="1700" w:type="dxa"/>
            <w:gridSpan w:val="2"/>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30EC47AA" w14:textId="77777777" w:rsidR="00341F21" w:rsidRDefault="00000000">
            <w:r>
              <w:rPr>
                <w:sz w:val="19"/>
                <w:szCs w:val="19"/>
              </w:rPr>
              <w:t>Spring</w:t>
            </w:r>
          </w:p>
        </w:tc>
        <w:tc>
          <w:tcPr>
            <w:tcW w:w="406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7386123B" w14:textId="77777777" w:rsidR="00341F21" w:rsidRDefault="00000000">
            <w:r>
              <w:rPr>
                <w:sz w:val="19"/>
                <w:szCs w:val="19"/>
              </w:rPr>
              <w:t>UCAT registration opens</w:t>
            </w:r>
          </w:p>
        </w:tc>
        <w:tc>
          <w:tcPr>
            <w:tcW w:w="360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79765A97" w14:textId="77777777" w:rsidR="00341F21" w:rsidRDefault="00000000">
            <w:r>
              <w:rPr>
                <w:sz w:val="19"/>
                <w:szCs w:val="19"/>
              </w:rPr>
              <w:t xml:space="preserve">Check you can sit the UCAT at a Pearson VUE </w:t>
            </w:r>
            <w:proofErr w:type="spellStart"/>
            <w:r>
              <w:rPr>
                <w:sz w:val="19"/>
                <w:szCs w:val="19"/>
              </w:rPr>
              <w:t>centre</w:t>
            </w:r>
            <w:proofErr w:type="spellEnd"/>
            <w:r>
              <w:rPr>
                <w:sz w:val="19"/>
                <w:szCs w:val="19"/>
              </w:rPr>
              <w:t xml:space="preserve"> in your country</w:t>
            </w:r>
          </w:p>
        </w:tc>
      </w:tr>
      <w:tr w:rsidR="00341F21" w14:paraId="73D2A345" w14:textId="77777777">
        <w:tblPrEx>
          <w:tblCellMar>
            <w:top w:w="0" w:type="dxa"/>
            <w:bottom w:w="0" w:type="dxa"/>
          </w:tblCellMar>
        </w:tblPrEx>
        <w:trPr>
          <w:gridAfter w:val="1"/>
          <w:wAfter w:w="22" w:type="dxa"/>
        </w:trPr>
        <w:tc>
          <w:tcPr>
            <w:tcW w:w="1700" w:type="dxa"/>
            <w:gridSpan w:val="2"/>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23A18B14" w14:textId="77777777" w:rsidR="00341F21" w:rsidRDefault="00000000">
            <w:r>
              <w:rPr>
                <w:sz w:val="19"/>
                <w:szCs w:val="19"/>
              </w:rPr>
              <w:t>Jul–Sep</w:t>
            </w:r>
          </w:p>
        </w:tc>
        <w:tc>
          <w:tcPr>
            <w:tcW w:w="40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0761527D" w14:textId="77777777" w:rsidR="00341F21" w:rsidRDefault="00000000">
            <w:r>
              <w:rPr>
                <w:sz w:val="19"/>
                <w:szCs w:val="19"/>
              </w:rPr>
              <w:t>UCAT testing window</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3BA63F2E" w14:textId="77777777" w:rsidR="00341F21" w:rsidRDefault="00000000">
            <w:r>
              <w:rPr>
                <w:sz w:val="19"/>
                <w:szCs w:val="19"/>
              </w:rPr>
              <w:t xml:space="preserve">Book your slot the moment booking opens; </w:t>
            </w:r>
            <w:proofErr w:type="spellStart"/>
            <w:r>
              <w:rPr>
                <w:sz w:val="19"/>
                <w:szCs w:val="19"/>
              </w:rPr>
              <w:t>centres</w:t>
            </w:r>
            <w:proofErr w:type="spellEnd"/>
            <w:r>
              <w:rPr>
                <w:sz w:val="19"/>
                <w:szCs w:val="19"/>
              </w:rPr>
              <w:t xml:space="preserve"> abroad fill fast</w:t>
            </w:r>
          </w:p>
        </w:tc>
      </w:tr>
      <w:tr w:rsidR="00341F21" w14:paraId="25269123" w14:textId="77777777">
        <w:tblPrEx>
          <w:tblCellMar>
            <w:top w:w="0" w:type="dxa"/>
            <w:bottom w:w="0" w:type="dxa"/>
          </w:tblCellMar>
        </w:tblPrEx>
        <w:trPr>
          <w:gridAfter w:val="1"/>
          <w:wAfter w:w="22" w:type="dxa"/>
        </w:trPr>
        <w:tc>
          <w:tcPr>
            <w:tcW w:w="1700" w:type="dxa"/>
            <w:gridSpan w:val="2"/>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72CE8CEB" w14:textId="77777777" w:rsidR="00341F21" w:rsidRDefault="00000000">
            <w:r>
              <w:rPr>
                <w:sz w:val="19"/>
                <w:szCs w:val="19"/>
              </w:rPr>
              <w:t>Mid-October</w:t>
            </w:r>
          </w:p>
        </w:tc>
        <w:tc>
          <w:tcPr>
            <w:tcW w:w="406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79010123" w14:textId="77777777" w:rsidR="00341F21" w:rsidRDefault="00000000">
            <w:r>
              <w:rPr>
                <w:sz w:val="19"/>
                <w:szCs w:val="19"/>
              </w:rPr>
              <w:t>UCAS medicine deadline (earlier than the main UCAS deadline)</w:t>
            </w:r>
          </w:p>
        </w:tc>
        <w:tc>
          <w:tcPr>
            <w:tcW w:w="360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36959FF7" w14:textId="77777777" w:rsidR="00341F21" w:rsidRDefault="00000000">
            <w:r>
              <w:rPr>
                <w:sz w:val="19"/>
                <w:szCs w:val="19"/>
              </w:rPr>
              <w:t>Miss this and you cannot apply to medicine that cycle</w:t>
            </w:r>
          </w:p>
        </w:tc>
      </w:tr>
      <w:tr w:rsidR="00341F21" w14:paraId="354AD5E2" w14:textId="77777777">
        <w:tblPrEx>
          <w:tblCellMar>
            <w:top w:w="0" w:type="dxa"/>
            <w:bottom w:w="0" w:type="dxa"/>
          </w:tblCellMar>
        </w:tblPrEx>
        <w:trPr>
          <w:gridAfter w:val="1"/>
          <w:wAfter w:w="22" w:type="dxa"/>
        </w:trPr>
        <w:tc>
          <w:tcPr>
            <w:tcW w:w="1700" w:type="dxa"/>
            <w:gridSpan w:val="2"/>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539AAD5A" w14:textId="77777777" w:rsidR="00341F21" w:rsidRDefault="00000000">
            <w:r>
              <w:rPr>
                <w:sz w:val="19"/>
                <w:szCs w:val="19"/>
              </w:rPr>
              <w:t>Nov–Mar</w:t>
            </w:r>
          </w:p>
        </w:tc>
        <w:tc>
          <w:tcPr>
            <w:tcW w:w="40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6FF93407" w14:textId="77777777" w:rsidR="00341F21" w:rsidRDefault="00000000">
            <w:r>
              <w:rPr>
                <w:sz w:val="19"/>
                <w:szCs w:val="19"/>
              </w:rPr>
              <w:t>Interviews (MMI / panel), often online for overseas applicants</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464DE4AF" w14:textId="77777777" w:rsidR="00341F21" w:rsidRDefault="00000000">
            <w:r>
              <w:rPr>
                <w:sz w:val="19"/>
                <w:szCs w:val="19"/>
              </w:rPr>
              <w:t>Confirm whether you must attend in person or can interview remotely</w:t>
            </w:r>
          </w:p>
        </w:tc>
      </w:tr>
      <w:tr w:rsidR="00341F21" w14:paraId="48D205E4" w14:textId="77777777">
        <w:tblPrEx>
          <w:tblCellMar>
            <w:top w:w="0" w:type="dxa"/>
            <w:bottom w:w="0" w:type="dxa"/>
          </w:tblCellMar>
        </w:tblPrEx>
        <w:trPr>
          <w:gridAfter w:val="1"/>
          <w:wAfter w:w="22" w:type="dxa"/>
        </w:trPr>
        <w:tc>
          <w:tcPr>
            <w:tcW w:w="1700" w:type="dxa"/>
            <w:gridSpan w:val="2"/>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12FBFD72" w14:textId="77777777" w:rsidR="00341F21" w:rsidRDefault="00000000">
            <w:r>
              <w:rPr>
                <w:sz w:val="19"/>
                <w:szCs w:val="19"/>
              </w:rPr>
              <w:lastRenderedPageBreak/>
              <w:t>Mar–May</w:t>
            </w:r>
          </w:p>
        </w:tc>
        <w:tc>
          <w:tcPr>
            <w:tcW w:w="406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6836B6AF" w14:textId="77777777" w:rsidR="00341F21" w:rsidRDefault="00000000">
            <w:r>
              <w:rPr>
                <w:sz w:val="19"/>
                <w:szCs w:val="19"/>
              </w:rPr>
              <w:t>Offers and decisions; firm + insurance choices</w:t>
            </w:r>
          </w:p>
        </w:tc>
        <w:tc>
          <w:tcPr>
            <w:tcW w:w="360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160B413A" w14:textId="77777777" w:rsidR="00341F21" w:rsidRDefault="00000000">
            <w:r>
              <w:rPr>
                <w:sz w:val="19"/>
                <w:szCs w:val="19"/>
              </w:rPr>
              <w:t>Begin gathering financial evidence for the visa</w:t>
            </w:r>
          </w:p>
        </w:tc>
      </w:tr>
      <w:tr w:rsidR="00341F21" w14:paraId="2A57B166" w14:textId="77777777">
        <w:tblPrEx>
          <w:tblCellMar>
            <w:top w:w="0" w:type="dxa"/>
            <w:bottom w:w="0" w:type="dxa"/>
          </w:tblCellMar>
        </w:tblPrEx>
        <w:trPr>
          <w:gridAfter w:val="1"/>
          <w:wAfter w:w="22" w:type="dxa"/>
        </w:trPr>
        <w:tc>
          <w:tcPr>
            <w:tcW w:w="1700" w:type="dxa"/>
            <w:gridSpan w:val="2"/>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3C38E208" w14:textId="77777777" w:rsidR="00341F21" w:rsidRDefault="00000000">
            <w:r>
              <w:rPr>
                <w:sz w:val="19"/>
                <w:szCs w:val="19"/>
              </w:rPr>
              <w:t>Jun–Aug</w:t>
            </w:r>
          </w:p>
        </w:tc>
        <w:tc>
          <w:tcPr>
            <w:tcW w:w="40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6D441D74" w14:textId="77777777" w:rsidR="00341F21" w:rsidRDefault="00000000">
            <w:r>
              <w:rPr>
                <w:sz w:val="19"/>
                <w:szCs w:val="19"/>
              </w:rPr>
              <w:t>Results; conditions met; CAS issued</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692ACF18" w14:textId="77777777" w:rsidR="00341F21" w:rsidRDefault="00000000">
            <w:r>
              <w:rPr>
                <w:sz w:val="19"/>
                <w:szCs w:val="19"/>
              </w:rPr>
              <w:t>Apply for the Student visa as soon as your CAS arrives</w:t>
            </w:r>
          </w:p>
        </w:tc>
      </w:tr>
      <w:tr w:rsidR="00341F21" w14:paraId="6E23F93F" w14:textId="77777777">
        <w:tblPrEx>
          <w:tblCellMar>
            <w:top w:w="0" w:type="dxa"/>
            <w:bottom w:w="0" w:type="dxa"/>
          </w:tblCellMar>
        </w:tblPrEx>
        <w:trPr>
          <w:gridAfter w:val="1"/>
          <w:wAfter w:w="22" w:type="dxa"/>
        </w:trPr>
        <w:tc>
          <w:tcPr>
            <w:tcW w:w="1700" w:type="dxa"/>
            <w:gridSpan w:val="2"/>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013D5C31" w14:textId="77777777" w:rsidR="00341F21" w:rsidRDefault="00000000">
            <w:r>
              <w:rPr>
                <w:sz w:val="19"/>
                <w:szCs w:val="19"/>
              </w:rPr>
              <w:t>Sep</w:t>
            </w:r>
          </w:p>
        </w:tc>
        <w:tc>
          <w:tcPr>
            <w:tcW w:w="406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2A0677E1" w14:textId="77777777" w:rsidR="00341F21" w:rsidRDefault="00000000">
            <w:r>
              <w:rPr>
                <w:sz w:val="19"/>
                <w:szCs w:val="19"/>
              </w:rPr>
              <w:t>Enrolment</w:t>
            </w:r>
          </w:p>
        </w:tc>
        <w:tc>
          <w:tcPr>
            <w:tcW w:w="360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5531AF6E" w14:textId="77777777" w:rsidR="00341F21" w:rsidRDefault="00000000">
            <w:r>
              <w:rPr>
                <w:sz w:val="19"/>
                <w:szCs w:val="19"/>
              </w:rPr>
              <w:t>Arrive early for registration, TB clearance, bank setup</w:t>
            </w:r>
          </w:p>
        </w:tc>
      </w:tr>
      <w:tr w:rsidR="00341F21" w14:paraId="52C9E921" w14:textId="77777777">
        <w:tblPrEx>
          <w:tblCellMar>
            <w:top w:w="0" w:type="dxa"/>
            <w:bottom w:w="0" w:type="dxa"/>
          </w:tblCellMar>
        </w:tblPrEx>
        <w:trPr>
          <w:gridBefore w:val="1"/>
          <w:wBefore w:w="22" w:type="dxa"/>
        </w:trPr>
        <w:tc>
          <w:tcPr>
            <w:tcW w:w="9360" w:type="dxa"/>
            <w:gridSpan w:val="4"/>
            <w:tcBorders>
              <w:left w:val="single" w:sz="18" w:space="0" w:color="C0392B"/>
            </w:tcBorders>
            <w:shd w:val="clear" w:color="auto" w:fill="EAF0F6"/>
            <w:tcMar>
              <w:top w:w="120" w:type="dxa"/>
              <w:left w:w="200" w:type="dxa"/>
              <w:bottom w:w="120" w:type="dxa"/>
              <w:right w:w="200" w:type="dxa"/>
            </w:tcMar>
          </w:tcPr>
          <w:p w14:paraId="751DC5CB" w14:textId="77777777" w:rsidR="00341F21" w:rsidRDefault="00000000">
            <w:pPr>
              <w:spacing w:after="60"/>
            </w:pPr>
            <w:r>
              <w:rPr>
                <w:b/>
                <w:bCs/>
                <w:color w:val="C0392B"/>
                <w:sz w:val="22"/>
                <w:szCs w:val="22"/>
              </w:rPr>
              <w:t>The October deadline is the trap</w:t>
            </w:r>
          </w:p>
          <w:p w14:paraId="1239E9C5" w14:textId="77777777" w:rsidR="00341F21" w:rsidRDefault="00000000">
            <w:r>
              <w:t>International applicants most often come unstuck on timing. The medicine UCAS deadline is in mid-October — weeks before the general UCAS deadline. Work backwards from it: UCAT done by September, personal statement drafted over the summer, reference requested by early autumn.</w:t>
            </w:r>
          </w:p>
        </w:tc>
      </w:tr>
    </w:tbl>
    <w:p w14:paraId="27018A88" w14:textId="77777777" w:rsidR="00341F21" w:rsidRDefault="00341F21">
      <w:pPr>
        <w:spacing w:after="160"/>
      </w:pPr>
    </w:p>
    <w:p w14:paraId="012C3A55" w14:textId="77777777" w:rsidR="00341F21" w:rsidRDefault="00000000">
      <w:pPr>
        <w:pStyle w:val="Heading1"/>
      </w:pPr>
      <w:bookmarkStart w:id="10" w:name="_Toc232375194"/>
      <w:r>
        <w:t>3. The UCAT (Your Only Admissions Test)</w:t>
      </w:r>
      <w:bookmarkEnd w:id="10"/>
    </w:p>
    <w:p w14:paraId="18C687D4" w14:textId="77777777" w:rsidR="00341F21" w:rsidRDefault="00000000">
      <w:pPr>
        <w:spacing w:after="120" w:line="276" w:lineRule="auto"/>
      </w:pPr>
      <w:r>
        <w:t xml:space="preserve">The University Clinical Aptitude Test is a roughly two-hour, computer-based test taken at a Pearson VUE </w:t>
      </w:r>
      <w:proofErr w:type="spellStart"/>
      <w:r>
        <w:t>centre</w:t>
      </w:r>
      <w:proofErr w:type="spellEnd"/>
      <w:r>
        <w:t>. It tests aptitude and judgement rather than scientific knowledge — there is no biology or chemistry content to revise.</w:t>
      </w:r>
    </w:p>
    <w:p w14:paraId="1355854B" w14:textId="77777777" w:rsidR="00341F21" w:rsidRDefault="00000000">
      <w:pPr>
        <w:pStyle w:val="Heading2"/>
      </w:pPr>
      <w:bookmarkStart w:id="11" w:name="_Toc232375195"/>
      <w:r>
        <w:t>3.1 The 2025+ format (post Abstract-Reasoning removal)</w:t>
      </w:r>
      <w:bookmarkEnd w:id="11"/>
    </w:p>
    <w:p w14:paraId="52E752D8" w14:textId="77777777" w:rsidR="00341F21" w:rsidRDefault="00000000">
      <w:pPr>
        <w:spacing w:after="120" w:line="276" w:lineRule="auto"/>
      </w:pPr>
      <w:r>
        <w:t>From 2025, the Abstract Reasoning subtest was removed. The UCAT now has three scored cognitive subtests plus the Situational Judgement Test: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
        <w:gridCol w:w="1975"/>
        <w:gridCol w:w="3351"/>
        <w:gridCol w:w="2394"/>
        <w:gridCol w:w="1596"/>
        <w:gridCol w:w="22"/>
      </w:tblGrid>
      <w:tr w:rsidR="00341F21" w14:paraId="7762897F" w14:textId="77777777">
        <w:tblPrEx>
          <w:tblCellMar>
            <w:top w:w="0" w:type="dxa"/>
            <w:bottom w:w="0" w:type="dxa"/>
          </w:tblCellMar>
        </w:tblPrEx>
        <w:trPr>
          <w:gridAfter w:val="1"/>
          <w:wAfter w:w="22" w:type="dxa"/>
          <w:tblHeader/>
        </w:trPr>
        <w:tc>
          <w:tcPr>
            <w:tcW w:w="2000" w:type="dxa"/>
            <w:gridSpan w:val="2"/>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vAlign w:val="center"/>
          </w:tcPr>
          <w:p w14:paraId="0F61FA55" w14:textId="77777777" w:rsidR="00341F21" w:rsidRDefault="00000000">
            <w:r>
              <w:rPr>
                <w:b/>
                <w:bCs/>
                <w:color w:val="FFFFFF"/>
                <w:sz w:val="20"/>
                <w:szCs w:val="20"/>
              </w:rPr>
              <w:t>Subtest</w:t>
            </w:r>
          </w:p>
        </w:tc>
        <w:tc>
          <w:tcPr>
            <w:tcW w:w="336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vAlign w:val="center"/>
          </w:tcPr>
          <w:p w14:paraId="3CCD402F" w14:textId="77777777" w:rsidR="00341F21" w:rsidRDefault="00000000">
            <w:r>
              <w:rPr>
                <w:b/>
                <w:bCs/>
                <w:color w:val="FFFFFF"/>
                <w:sz w:val="20"/>
                <w:szCs w:val="20"/>
              </w:rPr>
              <w:t>What it tests</w:t>
            </w:r>
          </w:p>
        </w:tc>
        <w:tc>
          <w:tcPr>
            <w:tcW w:w="24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vAlign w:val="center"/>
          </w:tcPr>
          <w:p w14:paraId="2924127C" w14:textId="77777777" w:rsidR="00341F21" w:rsidRDefault="00000000">
            <w:r>
              <w:rPr>
                <w:b/>
                <w:bCs/>
                <w:color w:val="FFFFFF"/>
                <w:sz w:val="20"/>
                <w:szCs w:val="20"/>
              </w:rPr>
              <w:t>Format (approx.)</w:t>
            </w:r>
          </w:p>
        </w:tc>
        <w:tc>
          <w:tcPr>
            <w:tcW w:w="16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vAlign w:val="center"/>
          </w:tcPr>
          <w:p w14:paraId="67E5D67E" w14:textId="77777777" w:rsidR="00341F21" w:rsidRDefault="00000000">
            <w:r>
              <w:rPr>
                <w:b/>
                <w:bCs/>
                <w:color w:val="FFFFFF"/>
                <w:sz w:val="20"/>
                <w:szCs w:val="20"/>
              </w:rPr>
              <w:t>Score range</w:t>
            </w:r>
          </w:p>
        </w:tc>
      </w:tr>
      <w:tr w:rsidR="00341F21" w14:paraId="2F3B3F98" w14:textId="77777777">
        <w:tblPrEx>
          <w:tblCellMar>
            <w:top w:w="0" w:type="dxa"/>
            <w:bottom w:w="0" w:type="dxa"/>
          </w:tblCellMar>
        </w:tblPrEx>
        <w:trPr>
          <w:gridAfter w:val="1"/>
          <w:wAfter w:w="22" w:type="dxa"/>
        </w:trPr>
        <w:tc>
          <w:tcPr>
            <w:tcW w:w="2000" w:type="dxa"/>
            <w:gridSpan w:val="2"/>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1A41B24B" w14:textId="77777777" w:rsidR="00341F21" w:rsidRDefault="00000000">
            <w:r>
              <w:rPr>
                <w:sz w:val="19"/>
                <w:szCs w:val="19"/>
              </w:rPr>
              <w:t>Verbal Reasoning</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6561A2F6" w14:textId="77777777" w:rsidR="00341F21" w:rsidRDefault="00000000">
            <w:r>
              <w:rPr>
                <w:sz w:val="19"/>
                <w:szCs w:val="19"/>
              </w:rPr>
              <w:t>Reading passages quickly; true / false / can’t tell</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6DB5AEA7" w14:textId="77777777" w:rsidR="00341F21" w:rsidRDefault="00000000">
            <w:r>
              <w:rPr>
                <w:sz w:val="19"/>
                <w:szCs w:val="19"/>
              </w:rPr>
              <w:t>~44 questions</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6DFA1D19" w14:textId="77777777" w:rsidR="00341F21" w:rsidRDefault="00000000">
            <w:r>
              <w:rPr>
                <w:sz w:val="19"/>
                <w:szCs w:val="19"/>
              </w:rPr>
              <w:t>300–900</w:t>
            </w:r>
          </w:p>
        </w:tc>
      </w:tr>
      <w:tr w:rsidR="00341F21" w14:paraId="033C02D1" w14:textId="77777777">
        <w:tblPrEx>
          <w:tblCellMar>
            <w:top w:w="0" w:type="dxa"/>
            <w:bottom w:w="0" w:type="dxa"/>
          </w:tblCellMar>
        </w:tblPrEx>
        <w:trPr>
          <w:gridAfter w:val="1"/>
          <w:wAfter w:w="22" w:type="dxa"/>
        </w:trPr>
        <w:tc>
          <w:tcPr>
            <w:tcW w:w="2000" w:type="dxa"/>
            <w:gridSpan w:val="2"/>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0F037945" w14:textId="77777777" w:rsidR="00341F21" w:rsidRDefault="00000000">
            <w:r>
              <w:rPr>
                <w:sz w:val="19"/>
                <w:szCs w:val="19"/>
              </w:rPr>
              <w:t>Decision Making</w:t>
            </w:r>
          </w:p>
        </w:tc>
        <w:tc>
          <w:tcPr>
            <w:tcW w:w="336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135017BF" w14:textId="77777777" w:rsidR="00341F21" w:rsidRDefault="00000000">
            <w:r>
              <w:rPr>
                <w:sz w:val="19"/>
                <w:szCs w:val="19"/>
              </w:rPr>
              <w:t>Logic puzzles, probability, evaluating arguments (now expanded)</w:t>
            </w:r>
          </w:p>
        </w:tc>
        <w:tc>
          <w:tcPr>
            <w:tcW w:w="240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02ABBF66" w14:textId="77777777" w:rsidR="00341F21" w:rsidRDefault="00000000">
            <w:r>
              <w:rPr>
                <w:sz w:val="19"/>
                <w:szCs w:val="19"/>
              </w:rPr>
              <w:t>~35 questions, ~37 min</w:t>
            </w:r>
          </w:p>
        </w:tc>
        <w:tc>
          <w:tcPr>
            <w:tcW w:w="160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11DA6AB3" w14:textId="77777777" w:rsidR="00341F21" w:rsidRDefault="00000000">
            <w:r>
              <w:rPr>
                <w:sz w:val="19"/>
                <w:szCs w:val="19"/>
              </w:rPr>
              <w:t>300–900</w:t>
            </w:r>
          </w:p>
        </w:tc>
      </w:tr>
      <w:tr w:rsidR="00341F21" w14:paraId="2DD3F642" w14:textId="77777777">
        <w:tblPrEx>
          <w:tblCellMar>
            <w:top w:w="0" w:type="dxa"/>
            <w:bottom w:w="0" w:type="dxa"/>
          </w:tblCellMar>
        </w:tblPrEx>
        <w:trPr>
          <w:gridAfter w:val="1"/>
          <w:wAfter w:w="22" w:type="dxa"/>
        </w:trPr>
        <w:tc>
          <w:tcPr>
            <w:tcW w:w="2000" w:type="dxa"/>
            <w:gridSpan w:val="2"/>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3044AF5E" w14:textId="77777777" w:rsidR="00341F21" w:rsidRDefault="00000000">
            <w:r>
              <w:rPr>
                <w:sz w:val="19"/>
                <w:szCs w:val="19"/>
              </w:rPr>
              <w:t>Quantitative Reasoning</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56087FC4" w14:textId="77777777" w:rsidR="00341F21" w:rsidRDefault="00000000">
            <w:r>
              <w:rPr>
                <w:sz w:val="19"/>
                <w:szCs w:val="19"/>
              </w:rPr>
              <w:t>Applied numeracy and data interpretation</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1F1A7226" w14:textId="77777777" w:rsidR="00341F21" w:rsidRDefault="00000000">
            <w:r>
              <w:rPr>
                <w:sz w:val="19"/>
                <w:szCs w:val="19"/>
              </w:rPr>
              <w:t>~36 questions, ~26 min</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5499DD84" w14:textId="77777777" w:rsidR="00341F21" w:rsidRDefault="00000000">
            <w:r>
              <w:rPr>
                <w:sz w:val="19"/>
                <w:szCs w:val="19"/>
              </w:rPr>
              <w:t>300–900</w:t>
            </w:r>
          </w:p>
        </w:tc>
      </w:tr>
      <w:tr w:rsidR="00341F21" w14:paraId="5111639F" w14:textId="77777777">
        <w:tblPrEx>
          <w:tblCellMar>
            <w:top w:w="0" w:type="dxa"/>
            <w:bottom w:w="0" w:type="dxa"/>
          </w:tblCellMar>
        </w:tblPrEx>
        <w:trPr>
          <w:gridAfter w:val="1"/>
          <w:wAfter w:w="22" w:type="dxa"/>
        </w:trPr>
        <w:tc>
          <w:tcPr>
            <w:tcW w:w="2000" w:type="dxa"/>
            <w:gridSpan w:val="2"/>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379B0BA2" w14:textId="77777777" w:rsidR="00341F21" w:rsidRDefault="00000000">
            <w:r>
              <w:rPr>
                <w:sz w:val="19"/>
                <w:szCs w:val="19"/>
              </w:rPr>
              <w:t>Situational Judgement</w:t>
            </w:r>
          </w:p>
        </w:tc>
        <w:tc>
          <w:tcPr>
            <w:tcW w:w="336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521A0E88" w14:textId="77777777" w:rsidR="00341F21" w:rsidRDefault="00000000">
            <w:r>
              <w:rPr>
                <w:sz w:val="19"/>
                <w:szCs w:val="19"/>
              </w:rPr>
              <w:t>Professional judgement and ethics in scenarios</w:t>
            </w:r>
          </w:p>
        </w:tc>
        <w:tc>
          <w:tcPr>
            <w:tcW w:w="240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4CAC5896" w14:textId="77777777" w:rsidR="00341F21" w:rsidRDefault="00000000">
            <w:r>
              <w:rPr>
                <w:sz w:val="19"/>
                <w:szCs w:val="19"/>
              </w:rPr>
              <w:t>Scenario-based</w:t>
            </w:r>
          </w:p>
        </w:tc>
        <w:tc>
          <w:tcPr>
            <w:tcW w:w="160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0ACF62E3" w14:textId="77777777" w:rsidR="00341F21" w:rsidRDefault="00000000">
            <w:r>
              <w:rPr>
                <w:sz w:val="19"/>
                <w:szCs w:val="19"/>
              </w:rPr>
              <w:t>Band 1–4</w:t>
            </w:r>
          </w:p>
        </w:tc>
      </w:tr>
      <w:tr w:rsidR="00341F21" w14:paraId="53850D29" w14:textId="77777777">
        <w:tblPrEx>
          <w:tblCellMar>
            <w:top w:w="0" w:type="dxa"/>
            <w:bottom w:w="0" w:type="dxa"/>
          </w:tblCellMar>
        </w:tblPrEx>
        <w:trPr>
          <w:gridBefore w:val="1"/>
          <w:wBefore w:w="22" w:type="dxa"/>
        </w:trPr>
        <w:tc>
          <w:tcPr>
            <w:tcW w:w="9360" w:type="dxa"/>
            <w:gridSpan w:val="5"/>
            <w:tcBorders>
              <w:left w:val="single" w:sz="18" w:space="0" w:color="2E5A88"/>
            </w:tcBorders>
            <w:shd w:val="clear" w:color="auto" w:fill="EAF0F6"/>
            <w:tcMar>
              <w:top w:w="120" w:type="dxa"/>
              <w:left w:w="200" w:type="dxa"/>
              <w:bottom w:w="120" w:type="dxa"/>
              <w:right w:w="200" w:type="dxa"/>
            </w:tcMar>
          </w:tcPr>
          <w:p w14:paraId="2327BDB4" w14:textId="77777777" w:rsidR="00341F21" w:rsidRDefault="00000000">
            <w:pPr>
              <w:spacing w:after="60"/>
            </w:pPr>
            <w:r>
              <w:rPr>
                <w:b/>
                <w:bCs/>
                <w:color w:val="2E5A88"/>
                <w:sz w:val="22"/>
                <w:szCs w:val="22"/>
              </w:rPr>
              <w:t>Scoring changed too</w:t>
            </w:r>
          </w:p>
          <w:p w14:paraId="46A56E4B" w14:textId="77777777" w:rsidR="00341F21" w:rsidRDefault="00000000">
            <w:r>
              <w:t>The three cognitive subtests now give a total out of 2700 (900 each), replacing the old 3600 scale. The SJT is reported separately in Bands 1–4 (Band 1 is strongest). When you see old cut-off scores quoted on the 3600 scale, subtract roughly 650 (the old average Abstract Reasoning score) to compare to the new scale — but treat that as rough.</w:t>
            </w:r>
          </w:p>
        </w:tc>
      </w:tr>
    </w:tbl>
    <w:p w14:paraId="3256B689" w14:textId="77777777" w:rsidR="00341F21" w:rsidRDefault="00000000">
      <w:pPr>
        <w:pStyle w:val="Heading2"/>
      </w:pPr>
      <w:bookmarkStart w:id="12" w:name="_Toc232375196"/>
      <w:r>
        <w:t>3.2 How schools use the UCAT</w:t>
      </w:r>
      <w:bookmarkEnd w:id="12"/>
    </w:p>
    <w:p w14:paraId="43A57B0A" w14:textId="77777777" w:rsidR="00341F21" w:rsidRDefault="00000000">
      <w:pPr>
        <w:spacing w:after="120" w:line="276" w:lineRule="auto"/>
      </w:pPr>
      <w:r>
        <w:t>There is no single national cut-off. Schools use the UCAT very differently, and you should match your score to their method:</w:t>
      </w:r>
    </w:p>
    <w:p w14:paraId="3E6DFD3C" w14:textId="77777777" w:rsidR="00341F21" w:rsidRDefault="00000000">
      <w:pPr>
        <w:pStyle w:val="ListParagraph"/>
        <w:numPr>
          <w:ilvl w:val="0"/>
          <w:numId w:val="2"/>
        </w:numPr>
        <w:spacing w:after="60" w:line="268" w:lineRule="auto"/>
      </w:pPr>
      <w:r>
        <w:rPr>
          <w:b/>
          <w:bCs/>
        </w:rPr>
        <w:t xml:space="preserve">Threshold schools: </w:t>
      </w:r>
      <w:r>
        <w:t>you must clear a minimum, then other factors decide.</w:t>
      </w:r>
    </w:p>
    <w:p w14:paraId="1C98AF08" w14:textId="77777777" w:rsidR="00341F21" w:rsidRDefault="00000000">
      <w:pPr>
        <w:pStyle w:val="ListParagraph"/>
        <w:numPr>
          <w:ilvl w:val="0"/>
          <w:numId w:val="2"/>
        </w:numPr>
        <w:spacing w:after="60" w:line="268" w:lineRule="auto"/>
      </w:pPr>
      <w:r>
        <w:rPr>
          <w:b/>
          <w:bCs/>
        </w:rPr>
        <w:lastRenderedPageBreak/>
        <w:t xml:space="preserve">Ranking schools: </w:t>
      </w:r>
      <w:r>
        <w:t>candidates are ranked by UCAT; a high score is decisive.</w:t>
      </w:r>
    </w:p>
    <w:p w14:paraId="287F7D48" w14:textId="77777777" w:rsidR="00341F21" w:rsidRDefault="00000000">
      <w:pPr>
        <w:pStyle w:val="ListParagraph"/>
        <w:numPr>
          <w:ilvl w:val="0"/>
          <w:numId w:val="2"/>
        </w:numPr>
        <w:spacing w:after="60" w:line="268" w:lineRule="auto"/>
      </w:pPr>
      <w:r>
        <w:rPr>
          <w:b/>
          <w:bCs/>
        </w:rPr>
        <w:t xml:space="preserve">Holistic schools: </w:t>
      </w:r>
      <w:r>
        <w:t>UCAT is one factor among grades, statement and interview.</w:t>
      </w:r>
    </w:p>
    <w:p w14:paraId="3DF5EF8D" w14:textId="77777777" w:rsidR="00341F21" w:rsidRDefault="00000000">
      <w:pPr>
        <w:pStyle w:val="ListParagraph"/>
        <w:numPr>
          <w:ilvl w:val="0"/>
          <w:numId w:val="2"/>
        </w:numPr>
        <w:spacing w:after="60" w:line="268" w:lineRule="auto"/>
      </w:pPr>
      <w:r>
        <w:rPr>
          <w:b/>
          <w:bCs/>
        </w:rPr>
        <w:t xml:space="preserve">SJT-sensitive schools: </w:t>
      </w:r>
      <w:r>
        <w:t>a low SJT band (3–4) can hurt you regardless of cognitive score.</w:t>
      </w:r>
    </w:p>
    <w:p w14:paraId="1EF3B723" w14:textId="77777777" w:rsidR="00341F21" w:rsidRDefault="00000000">
      <w:pPr>
        <w:spacing w:after="120" w:line="276" w:lineRule="auto"/>
      </w:pPr>
      <w:r>
        <w:t>Strategy: sit the UCAT first, then choose your four schools partly around your actual score. A 2600+ opens ranking schools; a mid-band score is better spent on threshold/holistic schools.</w:t>
      </w:r>
    </w:p>
    <w:p w14:paraId="06C57510" w14:textId="77777777" w:rsidR="00341F21" w:rsidRDefault="00000000">
      <w:pPr>
        <w:pStyle w:val="Heading2"/>
      </w:pPr>
      <w:bookmarkStart w:id="13" w:name="_Toc232375197"/>
      <w:r>
        <w:t>3.3 Preparation</w:t>
      </w:r>
      <w:bookmarkEnd w:id="13"/>
    </w:p>
    <w:p w14:paraId="602894E4" w14:textId="77777777" w:rsidR="00341F21" w:rsidRDefault="00000000">
      <w:pPr>
        <w:pStyle w:val="ListParagraph"/>
        <w:numPr>
          <w:ilvl w:val="0"/>
          <w:numId w:val="4"/>
        </w:numPr>
        <w:spacing w:after="60" w:line="268" w:lineRule="auto"/>
      </w:pPr>
      <w:r>
        <w:t>Start with the official free practice materials from the UCAT Consortium — they reflect the current format; many commercial books still describe the old one.</w:t>
      </w:r>
    </w:p>
    <w:p w14:paraId="0FE4E3DF" w14:textId="77777777" w:rsidR="00341F21" w:rsidRDefault="00000000">
      <w:pPr>
        <w:pStyle w:val="ListParagraph"/>
        <w:numPr>
          <w:ilvl w:val="0"/>
          <w:numId w:val="4"/>
        </w:numPr>
        <w:spacing w:after="60" w:line="268" w:lineRule="auto"/>
      </w:pPr>
      <w:r>
        <w:t>Drill under timed conditions. The UCAT is a speed test as much as an ability test.</w:t>
      </w:r>
    </w:p>
    <w:p w14:paraId="5B068AD9" w14:textId="77777777" w:rsidR="00341F21" w:rsidRDefault="00000000">
      <w:pPr>
        <w:pStyle w:val="ListParagraph"/>
        <w:numPr>
          <w:ilvl w:val="0"/>
          <w:numId w:val="4"/>
        </w:numPr>
        <w:spacing w:after="60" w:line="268" w:lineRule="auto"/>
      </w:pPr>
      <w:proofErr w:type="spellStart"/>
      <w:r>
        <w:t>Prioritise</w:t>
      </w:r>
      <w:proofErr w:type="spellEnd"/>
      <w:r>
        <w:t xml:space="preserve"> Decision Making and Quantitative Reasoning, where focused practice moves the needle most.</w:t>
      </w:r>
    </w:p>
    <w:p w14:paraId="25098073" w14:textId="77777777" w:rsidR="00341F21" w:rsidRDefault="00000000">
      <w:pPr>
        <w:pStyle w:val="ListParagraph"/>
        <w:numPr>
          <w:ilvl w:val="0"/>
          <w:numId w:val="4"/>
        </w:numPr>
        <w:spacing w:after="60" w:line="268" w:lineRule="auto"/>
      </w:pPr>
      <w:r>
        <w:t>Do not neglect the SJT — it is easy to under-prepare and a weak band narrows your options.</w:t>
      </w:r>
    </w:p>
    <w:p w14:paraId="7891788B" w14:textId="77777777" w:rsidR="00341F21" w:rsidRDefault="00000000">
      <w:pPr>
        <w:spacing w:after="120" w:line="276" w:lineRule="auto"/>
      </w:pPr>
      <w:r>
        <w:t xml:space="preserve">Official site and free resources: </w:t>
      </w:r>
      <w:hyperlink r:id="rId7" w:history="1">
        <w:r>
          <w:t>ucat.ac.uk</w:t>
        </w:r>
      </w:hyperlink>
    </w:p>
    <w:p w14:paraId="7FCA523F" w14:textId="77777777" w:rsidR="00341F21" w:rsidRDefault="00341F21">
      <w:pPr>
        <w:spacing w:after="160"/>
      </w:pPr>
    </w:p>
    <w:p w14:paraId="0FC22E5B" w14:textId="77777777" w:rsidR="00341F21" w:rsidRDefault="00000000">
      <w:pPr>
        <w:pStyle w:val="Heading1"/>
      </w:pPr>
      <w:bookmarkStart w:id="14" w:name="_Toc232375198"/>
      <w:r>
        <w:t>4. Choosing Your Four Schools</w:t>
      </w:r>
      <w:bookmarkEnd w:id="14"/>
    </w:p>
    <w:p w14:paraId="27790917" w14:textId="77777777" w:rsidR="00341F21" w:rsidRDefault="00000000">
      <w:pPr>
        <w:spacing w:after="120" w:line="276" w:lineRule="auto"/>
      </w:pPr>
      <w:r>
        <w:t>With one universal test, your choice is no longer dictated by which exam a school requires. Instead, build a balanced list of four that matches your profile.</w:t>
      </w:r>
    </w:p>
    <w:p w14:paraId="695E7B63" w14:textId="77777777" w:rsidR="00341F21" w:rsidRDefault="00000000">
      <w:pPr>
        <w:pStyle w:val="Heading2"/>
      </w:pPr>
      <w:bookmarkStart w:id="15" w:name="_Toc232375199"/>
      <w:r>
        <w:t>4.1 Factors that matter for international applicants</w:t>
      </w:r>
      <w:bookmarkEnd w:id="15"/>
    </w:p>
    <w:p w14:paraId="68B08278" w14:textId="77777777" w:rsidR="00341F21" w:rsidRDefault="00000000">
      <w:pPr>
        <w:pStyle w:val="ListParagraph"/>
        <w:numPr>
          <w:ilvl w:val="0"/>
          <w:numId w:val="2"/>
        </w:numPr>
        <w:spacing w:after="60" w:line="268" w:lineRule="auto"/>
      </w:pPr>
      <w:r>
        <w:rPr>
          <w:b/>
          <w:bCs/>
        </w:rPr>
        <w:t xml:space="preserve">International quota: </w:t>
      </w:r>
      <w:r>
        <w:t>UK schools cap overseas places (often a small percentage of the cohort). Competition for these is fierce — fiercer than the home-student ratio.</w:t>
      </w:r>
    </w:p>
    <w:p w14:paraId="568A18F3" w14:textId="77777777" w:rsidR="00341F21" w:rsidRDefault="00000000">
      <w:pPr>
        <w:pStyle w:val="ListParagraph"/>
        <w:numPr>
          <w:ilvl w:val="0"/>
          <w:numId w:val="2"/>
        </w:numPr>
        <w:spacing w:after="60" w:line="268" w:lineRule="auto"/>
      </w:pPr>
      <w:r>
        <w:rPr>
          <w:b/>
          <w:bCs/>
        </w:rPr>
        <w:t xml:space="preserve">UCAT usage: </w:t>
      </w:r>
      <w:r>
        <w:t>match the school’s method to your score (Section 3.2).</w:t>
      </w:r>
    </w:p>
    <w:p w14:paraId="0AEBF693" w14:textId="77777777" w:rsidR="00341F21" w:rsidRDefault="00000000">
      <w:pPr>
        <w:pStyle w:val="ListParagraph"/>
        <w:numPr>
          <w:ilvl w:val="0"/>
          <w:numId w:val="2"/>
        </w:numPr>
        <w:spacing w:after="60" w:line="268" w:lineRule="auto"/>
      </w:pPr>
      <w:r>
        <w:rPr>
          <w:b/>
          <w:bCs/>
        </w:rPr>
        <w:t xml:space="preserve">Course style: </w:t>
      </w:r>
      <w:r>
        <w:t>traditional / integrated / problem-based learning (PBL) / case-based. Pick what suits how you learn.</w:t>
      </w:r>
    </w:p>
    <w:p w14:paraId="195F2625" w14:textId="77777777" w:rsidR="00341F21" w:rsidRDefault="00000000">
      <w:pPr>
        <w:pStyle w:val="ListParagraph"/>
        <w:numPr>
          <w:ilvl w:val="0"/>
          <w:numId w:val="2"/>
        </w:numPr>
        <w:spacing w:after="60" w:line="268" w:lineRule="auto"/>
      </w:pPr>
      <w:r>
        <w:rPr>
          <w:b/>
          <w:bCs/>
        </w:rPr>
        <w:t xml:space="preserve">Interview style: </w:t>
      </w:r>
      <w:r>
        <w:t>MMI vs panel; whether overseas applicants can interview online.</w:t>
      </w:r>
    </w:p>
    <w:p w14:paraId="72470A84" w14:textId="77777777" w:rsidR="00341F21" w:rsidRDefault="00000000">
      <w:pPr>
        <w:pStyle w:val="ListParagraph"/>
        <w:numPr>
          <w:ilvl w:val="0"/>
          <w:numId w:val="2"/>
        </w:numPr>
        <w:spacing w:after="60" w:line="268" w:lineRule="auto"/>
      </w:pPr>
      <w:r>
        <w:rPr>
          <w:b/>
          <w:bCs/>
        </w:rPr>
        <w:t xml:space="preserve">Fees and city cost: </w:t>
      </w:r>
      <w:r>
        <w:t>clinical-year fees and living costs vary enormously (Section 7).</w:t>
      </w:r>
    </w:p>
    <w:p w14:paraId="2A6B692F" w14:textId="77777777" w:rsidR="00341F21" w:rsidRDefault="00000000">
      <w:pPr>
        <w:pStyle w:val="Heading2"/>
      </w:pPr>
      <w:bookmarkStart w:id="16" w:name="_Toc232375200"/>
      <w:r>
        <w:t>4.2 Build a balanced four</w:t>
      </w:r>
      <w:bookmarkEnd w:id="16"/>
    </w:p>
    <w:p w14:paraId="75AEF3E2" w14:textId="77777777" w:rsidR="00341F21" w:rsidRDefault="00000000">
      <w:pPr>
        <w:spacing w:after="120" w:line="276" w:lineRule="auto"/>
      </w:pPr>
      <w:r>
        <w:t>A common sensible spread:</w:t>
      </w:r>
    </w:p>
    <w:p w14:paraId="53CF0DB3" w14:textId="77777777" w:rsidR="00341F21" w:rsidRDefault="00000000">
      <w:pPr>
        <w:pStyle w:val="ListParagraph"/>
        <w:numPr>
          <w:ilvl w:val="0"/>
          <w:numId w:val="5"/>
        </w:numPr>
        <w:spacing w:after="60" w:line="268" w:lineRule="auto"/>
      </w:pPr>
      <w:r>
        <w:t>One ambitious / ranking school if your UCAT is strong.</w:t>
      </w:r>
    </w:p>
    <w:p w14:paraId="494D7BBF" w14:textId="77777777" w:rsidR="00341F21" w:rsidRDefault="00000000">
      <w:pPr>
        <w:pStyle w:val="ListParagraph"/>
        <w:numPr>
          <w:ilvl w:val="0"/>
          <w:numId w:val="5"/>
        </w:numPr>
        <w:spacing w:after="60" w:line="268" w:lineRule="auto"/>
      </w:pPr>
      <w:r>
        <w:t>Two solid matches aligned to your score and grades.</w:t>
      </w:r>
    </w:p>
    <w:p w14:paraId="3C91218F" w14:textId="77777777" w:rsidR="00341F21" w:rsidRDefault="00000000">
      <w:pPr>
        <w:pStyle w:val="ListParagraph"/>
        <w:numPr>
          <w:ilvl w:val="0"/>
          <w:numId w:val="5"/>
        </w:numPr>
        <w:spacing w:after="60" w:line="268" w:lineRule="auto"/>
      </w:pPr>
      <w:r>
        <w:t>One lower-pressure school where you clear the threshold comfortably.</w:t>
      </w:r>
    </w:p>
    <w:p w14:paraId="26C13641" w14:textId="77777777" w:rsidR="00341F21" w:rsidRDefault="00000000">
      <w:pPr>
        <w:spacing w:after="120" w:line="276" w:lineRule="auto"/>
      </w:pPr>
      <w:r>
        <w:t>Then use your 5th UCAS slot for a non-medicine ‘insurance’ course (e.g. biomedical sciences) so a strong cycle isn’t all-or-nothing.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41F21" w14:paraId="405A9C36" w14:textId="77777777">
        <w:tblPrEx>
          <w:tblCellMar>
            <w:top w:w="0" w:type="dxa"/>
            <w:bottom w:w="0" w:type="dxa"/>
          </w:tblCellMar>
        </w:tblPrEx>
        <w:tc>
          <w:tcPr>
            <w:tcW w:w="9360" w:type="dxa"/>
            <w:tcBorders>
              <w:left w:val="single" w:sz="18" w:space="0" w:color="2E5A88"/>
            </w:tcBorders>
            <w:shd w:val="clear" w:color="auto" w:fill="EAF0F6"/>
            <w:tcMar>
              <w:top w:w="120" w:type="dxa"/>
              <w:left w:w="200" w:type="dxa"/>
              <w:bottom w:w="120" w:type="dxa"/>
              <w:right w:w="200" w:type="dxa"/>
            </w:tcMar>
          </w:tcPr>
          <w:p w14:paraId="5D4B2424" w14:textId="77777777" w:rsidR="00341F21" w:rsidRDefault="00000000">
            <w:pPr>
              <w:spacing w:after="60"/>
            </w:pPr>
            <w:r>
              <w:rPr>
                <w:b/>
                <w:bCs/>
                <w:color w:val="2E5A88"/>
                <w:sz w:val="22"/>
                <w:szCs w:val="22"/>
              </w:rPr>
              <w:t>Oxbridge note</w:t>
            </w:r>
          </w:p>
          <w:p w14:paraId="26B672B0" w14:textId="77777777" w:rsidR="00341F21" w:rsidRDefault="00000000">
            <w:r>
              <w:t xml:space="preserve">Oxford and Cambridge both now use the UCAT and cannot be applied to in the same cycle — you choose one. Cambridge in particular weights academics, school reference and interview </w:t>
            </w:r>
            <w:r>
              <w:lastRenderedPageBreak/>
              <w:t>heavily. Both have their own additional written work / assessment elements at interview stage; check each college and department page.</w:t>
            </w:r>
          </w:p>
        </w:tc>
      </w:tr>
    </w:tbl>
    <w:p w14:paraId="6F278806" w14:textId="77777777" w:rsidR="00341F21" w:rsidRDefault="00341F21">
      <w:pPr>
        <w:spacing w:after="160"/>
      </w:pPr>
    </w:p>
    <w:p w14:paraId="5A9A4829" w14:textId="77777777" w:rsidR="00341F21" w:rsidRDefault="00000000">
      <w:pPr>
        <w:pStyle w:val="Heading1"/>
      </w:pPr>
      <w:bookmarkStart w:id="17" w:name="_Toc232375201"/>
      <w:r>
        <w:t>5. The Personal Statement</w:t>
      </w:r>
      <w:bookmarkEnd w:id="17"/>
    </w:p>
    <w:p w14:paraId="6BCF4201" w14:textId="77777777" w:rsidR="00341F21" w:rsidRDefault="00000000">
      <w:pPr>
        <w:spacing w:after="120" w:line="276" w:lineRule="auto"/>
      </w:pPr>
      <w:r>
        <w:t>One personal statement goes to all your choices, so it must work for every school. Note that UCAS has moved toward a structured, question-based personal statement format — confirm the exact current structure on UCAS before you write, as the free-form single essay of previous years has been revised.</w:t>
      </w:r>
    </w:p>
    <w:p w14:paraId="09241CE6" w14:textId="77777777" w:rsidR="00341F21" w:rsidRDefault="00000000">
      <w:pPr>
        <w:pStyle w:val="Heading2"/>
      </w:pPr>
      <w:bookmarkStart w:id="18" w:name="_Toc232375202"/>
      <w:r>
        <w:t>5.1 What admissions tutors look for</w:t>
      </w:r>
      <w:bookmarkEnd w:id="18"/>
    </w:p>
    <w:p w14:paraId="497552AF" w14:textId="77777777" w:rsidR="00341F21" w:rsidRDefault="00000000">
      <w:pPr>
        <w:pStyle w:val="ListParagraph"/>
        <w:numPr>
          <w:ilvl w:val="0"/>
          <w:numId w:val="2"/>
        </w:numPr>
        <w:spacing w:after="60" w:line="268" w:lineRule="auto"/>
      </w:pPr>
      <w:r>
        <w:t>Genuine, evidenced motivation for medicine — not ‘I want to help people’, but what you did about that motivation.</w:t>
      </w:r>
    </w:p>
    <w:p w14:paraId="34F1E714" w14:textId="77777777" w:rsidR="00341F21" w:rsidRDefault="00000000">
      <w:pPr>
        <w:pStyle w:val="ListParagraph"/>
        <w:numPr>
          <w:ilvl w:val="0"/>
          <w:numId w:val="2"/>
        </w:numPr>
        <w:spacing w:after="60" w:line="268" w:lineRule="auto"/>
      </w:pPr>
      <w:r>
        <w:t>Insight into the realities of medicine from work experience, volunteering, or care settings.</w:t>
      </w:r>
    </w:p>
    <w:p w14:paraId="3F3ACC7F" w14:textId="77777777" w:rsidR="00341F21" w:rsidRDefault="00000000">
      <w:pPr>
        <w:pStyle w:val="ListParagraph"/>
        <w:numPr>
          <w:ilvl w:val="0"/>
          <w:numId w:val="2"/>
        </w:numPr>
        <w:spacing w:after="60" w:line="268" w:lineRule="auto"/>
      </w:pPr>
      <w:r>
        <w:t>Reflection: not what you did, but what you learned and how it shaped you.</w:t>
      </w:r>
    </w:p>
    <w:p w14:paraId="4DC402FF" w14:textId="77777777" w:rsidR="00341F21" w:rsidRDefault="00000000">
      <w:pPr>
        <w:pStyle w:val="ListParagraph"/>
        <w:numPr>
          <w:ilvl w:val="0"/>
          <w:numId w:val="2"/>
        </w:numPr>
        <w:spacing w:after="60" w:line="268" w:lineRule="auto"/>
      </w:pPr>
      <w:r>
        <w:t>Qualities medicine demands — resilience, teamwork, communication, ethical awareness — shown through examples.</w:t>
      </w:r>
    </w:p>
    <w:p w14:paraId="73B3C8D3" w14:textId="77777777" w:rsidR="00341F21" w:rsidRDefault="00000000">
      <w:pPr>
        <w:pStyle w:val="Heading2"/>
      </w:pPr>
      <w:bookmarkStart w:id="19" w:name="_Toc232375203"/>
      <w:r>
        <w:t>5.2 A workable structure</w:t>
      </w:r>
      <w:bookmarkEnd w:id="19"/>
    </w:p>
    <w:p w14:paraId="532C3ED6" w14:textId="77777777" w:rsidR="00341F21" w:rsidRDefault="00000000">
      <w:pPr>
        <w:pStyle w:val="ListParagraph"/>
        <w:numPr>
          <w:ilvl w:val="0"/>
          <w:numId w:val="6"/>
        </w:numPr>
        <w:spacing w:after="60" w:line="268" w:lineRule="auto"/>
      </w:pPr>
      <w:r>
        <w:t>Why medicine — a specific, honest hook grounded in experience.</w:t>
      </w:r>
    </w:p>
    <w:p w14:paraId="63737F11" w14:textId="77777777" w:rsidR="00341F21" w:rsidRDefault="00000000">
      <w:pPr>
        <w:pStyle w:val="ListParagraph"/>
        <w:numPr>
          <w:ilvl w:val="0"/>
          <w:numId w:val="6"/>
        </w:numPr>
        <w:spacing w:after="60" w:line="268" w:lineRule="auto"/>
      </w:pPr>
      <w:r>
        <w:t>Clinical / care exposure — what you observed and what it taught you.</w:t>
      </w:r>
    </w:p>
    <w:p w14:paraId="60DE9B85" w14:textId="77777777" w:rsidR="00341F21" w:rsidRDefault="00000000">
      <w:pPr>
        <w:pStyle w:val="ListParagraph"/>
        <w:numPr>
          <w:ilvl w:val="0"/>
          <w:numId w:val="6"/>
        </w:numPr>
        <w:spacing w:after="60" w:line="268" w:lineRule="auto"/>
      </w:pPr>
      <w:r>
        <w:t>Wider reading and academic interest — a topic you explored beyond the syllabus.</w:t>
      </w:r>
    </w:p>
    <w:p w14:paraId="5701302E" w14:textId="77777777" w:rsidR="00341F21" w:rsidRDefault="00000000">
      <w:pPr>
        <w:pStyle w:val="ListParagraph"/>
        <w:numPr>
          <w:ilvl w:val="0"/>
          <w:numId w:val="6"/>
        </w:numPr>
        <w:spacing w:after="60" w:line="268" w:lineRule="auto"/>
      </w:pPr>
      <w:r>
        <w:t>Non-academic strengths — leadership, teamwork, service, resilience, with evidence.</w:t>
      </w:r>
    </w:p>
    <w:p w14:paraId="63A24002" w14:textId="77777777" w:rsidR="00341F21" w:rsidRDefault="00000000">
      <w:pPr>
        <w:pStyle w:val="ListParagraph"/>
        <w:numPr>
          <w:ilvl w:val="0"/>
          <w:numId w:val="6"/>
        </w:numPr>
        <w:spacing w:after="60" w:line="268" w:lineRule="auto"/>
      </w:pPr>
      <w:r>
        <w:t>A short, forward-looking close.</w:t>
      </w:r>
    </w:p>
    <w:p w14:paraId="627E6AC3" w14:textId="77777777" w:rsidR="00341F21" w:rsidRDefault="00000000">
      <w:pPr>
        <w:pStyle w:val="Heading2"/>
      </w:pPr>
      <w:bookmarkStart w:id="20" w:name="_Toc232375204"/>
      <w:r>
        <w:t>5.3 Notes specifically for international applicants</w:t>
      </w:r>
      <w:bookmarkEnd w:id="20"/>
    </w:p>
    <w:p w14:paraId="26D2931B" w14:textId="77777777" w:rsidR="00341F21" w:rsidRDefault="00000000">
      <w:pPr>
        <w:pStyle w:val="ListParagraph"/>
        <w:numPr>
          <w:ilvl w:val="0"/>
          <w:numId w:val="2"/>
        </w:numPr>
        <w:spacing w:after="60" w:line="268" w:lineRule="auto"/>
      </w:pPr>
      <w:r>
        <w:t>Frame overseas experience as a strength: different healthcare systems, languages, and patient populations show adaptability and breadth.</w:t>
      </w:r>
    </w:p>
    <w:p w14:paraId="77624B98" w14:textId="77777777" w:rsidR="00341F21" w:rsidRDefault="00000000">
      <w:pPr>
        <w:pStyle w:val="ListParagraph"/>
        <w:numPr>
          <w:ilvl w:val="0"/>
          <w:numId w:val="2"/>
        </w:numPr>
        <w:spacing w:after="60" w:line="268" w:lineRule="auto"/>
      </w:pPr>
      <w:r>
        <w:t xml:space="preserve">If your experience is from your home country, briefly </w:t>
      </w:r>
      <w:proofErr w:type="spellStart"/>
      <w:r>
        <w:t>contextualise</w:t>
      </w:r>
      <w:proofErr w:type="spellEnd"/>
      <w:r>
        <w:t xml:space="preserve"> it so a UK tutor understands the setting.</w:t>
      </w:r>
    </w:p>
    <w:p w14:paraId="10FB0FCA" w14:textId="77777777" w:rsidR="00341F21" w:rsidRDefault="00000000">
      <w:pPr>
        <w:pStyle w:val="ListParagraph"/>
        <w:numPr>
          <w:ilvl w:val="0"/>
          <w:numId w:val="2"/>
        </w:numPr>
        <w:spacing w:after="60" w:line="268" w:lineRule="auto"/>
      </w:pPr>
      <w:r>
        <w:t>Write in your own voice. Over-polished, agency-written statements read as inauthentic and interviews will expose them.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41F21" w14:paraId="3F5FE50E" w14:textId="77777777">
        <w:tblPrEx>
          <w:tblCellMar>
            <w:top w:w="0" w:type="dxa"/>
            <w:bottom w:w="0" w:type="dxa"/>
          </w:tblCellMar>
        </w:tblPrEx>
        <w:tc>
          <w:tcPr>
            <w:tcW w:w="9360" w:type="dxa"/>
            <w:tcBorders>
              <w:left w:val="single" w:sz="18" w:space="0" w:color="C0392B"/>
            </w:tcBorders>
            <w:shd w:val="clear" w:color="auto" w:fill="FBEAEA"/>
            <w:tcMar>
              <w:top w:w="120" w:type="dxa"/>
              <w:left w:w="200" w:type="dxa"/>
              <w:bottom w:w="120" w:type="dxa"/>
              <w:right w:w="200" w:type="dxa"/>
            </w:tcMar>
          </w:tcPr>
          <w:p w14:paraId="0A997EBE" w14:textId="77777777" w:rsidR="00341F21" w:rsidRDefault="00000000">
            <w:pPr>
              <w:spacing w:after="60"/>
            </w:pPr>
            <w:r>
              <w:rPr>
                <w:b/>
                <w:bCs/>
                <w:color w:val="C0392B"/>
                <w:sz w:val="22"/>
                <w:szCs w:val="22"/>
              </w:rPr>
              <w:t>Do not let anyone write it for you</w:t>
            </w:r>
          </w:p>
          <w:p w14:paraId="3DA00801" w14:textId="77777777" w:rsidR="00341F21" w:rsidRDefault="00000000">
            <w:r>
              <w:t>UCAS screens for plagiarism and AI-generated text, and interviewers will probe anything you claim. A modest, true statement in your own words beats a slick one you cannot defend in the room.</w:t>
            </w:r>
          </w:p>
        </w:tc>
      </w:tr>
    </w:tbl>
    <w:p w14:paraId="5CE329FE" w14:textId="77777777" w:rsidR="00341F21" w:rsidRDefault="00341F21">
      <w:pPr>
        <w:spacing w:after="160"/>
      </w:pPr>
    </w:p>
    <w:p w14:paraId="11CEE24C" w14:textId="77777777" w:rsidR="00341F21" w:rsidRDefault="00000000">
      <w:pPr>
        <w:pStyle w:val="Heading1"/>
      </w:pPr>
      <w:bookmarkStart w:id="21" w:name="_Toc232375205"/>
      <w:r>
        <w:t>6. References &amp; Interviews</w:t>
      </w:r>
      <w:bookmarkEnd w:id="21"/>
    </w:p>
    <w:p w14:paraId="48CC3C19" w14:textId="77777777" w:rsidR="00341F21" w:rsidRDefault="00000000">
      <w:pPr>
        <w:pStyle w:val="Heading2"/>
      </w:pPr>
      <w:bookmarkStart w:id="22" w:name="_Toc232375206"/>
      <w:r>
        <w:t>6.1 The reference</w:t>
      </w:r>
      <w:bookmarkEnd w:id="22"/>
    </w:p>
    <w:p w14:paraId="5E2A77A7" w14:textId="77777777" w:rsidR="00341F21" w:rsidRDefault="00000000">
      <w:pPr>
        <w:spacing w:after="120" w:line="276" w:lineRule="auto"/>
      </w:pPr>
      <w:r>
        <w:lastRenderedPageBreak/>
        <w:t>UCAS requires a reference, usually from your school or college. For international applicants:</w:t>
      </w:r>
    </w:p>
    <w:p w14:paraId="1E3D2314" w14:textId="77777777" w:rsidR="00341F21" w:rsidRDefault="00000000">
      <w:pPr>
        <w:pStyle w:val="ListParagraph"/>
        <w:numPr>
          <w:ilvl w:val="0"/>
          <w:numId w:val="2"/>
        </w:numPr>
        <w:spacing w:after="60" w:line="268" w:lineRule="auto"/>
      </w:pPr>
      <w:r>
        <w:t>Brief your referee early and give them your draft statement, achievements and target courses.</w:t>
      </w:r>
    </w:p>
    <w:p w14:paraId="2A776ED7" w14:textId="77777777" w:rsidR="00341F21" w:rsidRDefault="00000000">
      <w:pPr>
        <w:pStyle w:val="ListParagraph"/>
        <w:numPr>
          <w:ilvl w:val="0"/>
          <w:numId w:val="2"/>
        </w:numPr>
        <w:spacing w:after="60" w:line="268" w:lineRule="auto"/>
      </w:pPr>
      <w:r>
        <w:t>If your school is unfamiliar with the UK system, share what a UK medicine reference should address: academic ability, predicted grades, and suitability for medicine.</w:t>
      </w:r>
    </w:p>
    <w:p w14:paraId="42E3E6E7" w14:textId="77777777" w:rsidR="00341F21" w:rsidRDefault="00000000">
      <w:pPr>
        <w:pStyle w:val="ListParagraph"/>
        <w:numPr>
          <w:ilvl w:val="0"/>
          <w:numId w:val="2"/>
        </w:numPr>
        <w:spacing w:after="60" w:line="268" w:lineRule="auto"/>
      </w:pPr>
      <w:r>
        <w:t>Ensure predicted grades are realistic but competitive — they anchor your conditional offer.</w:t>
      </w:r>
    </w:p>
    <w:p w14:paraId="3C1DF99F" w14:textId="77777777" w:rsidR="00341F21" w:rsidRDefault="00000000">
      <w:pPr>
        <w:pStyle w:val="Heading2"/>
      </w:pPr>
      <w:bookmarkStart w:id="23" w:name="_Toc232375207"/>
      <w:r>
        <w:t>6.2 Interviews</w:t>
      </w:r>
      <w:bookmarkEnd w:id="23"/>
    </w:p>
    <w:p w14:paraId="64FE0A19" w14:textId="77777777" w:rsidR="00341F21" w:rsidRDefault="00000000">
      <w:pPr>
        <w:spacing w:after="120" w:line="276" w:lineRule="auto"/>
      </w:pPr>
      <w:r>
        <w:t xml:space="preserve">Most UK medical schools use the Multiple Mini Interview (MMI): a circuit of </w:t>
      </w:r>
      <w:proofErr w:type="gramStart"/>
      <w:r>
        <w:t>short timed</w:t>
      </w:r>
      <w:proofErr w:type="gramEnd"/>
      <w:r>
        <w:t xml:space="preserve"> stations, each assessing a different skill. Others use traditional panel interviews. Common station types:</w:t>
      </w:r>
    </w:p>
    <w:p w14:paraId="00D649E9" w14:textId="77777777" w:rsidR="00341F21" w:rsidRDefault="00000000">
      <w:pPr>
        <w:pStyle w:val="ListParagraph"/>
        <w:numPr>
          <w:ilvl w:val="0"/>
          <w:numId w:val="2"/>
        </w:numPr>
        <w:spacing w:after="60" w:line="268" w:lineRule="auto"/>
      </w:pPr>
      <w:r>
        <w:t>Motivation and insight into medicine.</w:t>
      </w:r>
    </w:p>
    <w:p w14:paraId="37DE278B" w14:textId="77777777" w:rsidR="00341F21" w:rsidRDefault="00000000">
      <w:pPr>
        <w:pStyle w:val="ListParagraph"/>
        <w:numPr>
          <w:ilvl w:val="0"/>
          <w:numId w:val="2"/>
        </w:numPr>
        <w:spacing w:after="60" w:line="268" w:lineRule="auto"/>
      </w:pPr>
      <w:r>
        <w:t>Ethical scenarios (consent, confidentiality, the ‘four principles’).</w:t>
      </w:r>
    </w:p>
    <w:p w14:paraId="609FC64E" w14:textId="77777777" w:rsidR="00341F21" w:rsidRDefault="00000000">
      <w:pPr>
        <w:pStyle w:val="ListParagraph"/>
        <w:numPr>
          <w:ilvl w:val="0"/>
          <w:numId w:val="2"/>
        </w:numPr>
        <w:spacing w:after="60" w:line="268" w:lineRule="auto"/>
      </w:pPr>
      <w:r>
        <w:t>Communication / role-play with an actor.</w:t>
      </w:r>
    </w:p>
    <w:p w14:paraId="6C877639" w14:textId="77777777" w:rsidR="00341F21" w:rsidRDefault="00000000">
      <w:pPr>
        <w:pStyle w:val="ListParagraph"/>
        <w:numPr>
          <w:ilvl w:val="0"/>
          <w:numId w:val="2"/>
        </w:numPr>
        <w:spacing w:after="60" w:line="268" w:lineRule="auto"/>
      </w:pPr>
      <w:r>
        <w:t>Data, calculation, or problem-solving tasks.</w:t>
      </w:r>
    </w:p>
    <w:p w14:paraId="23CF6B62" w14:textId="77777777" w:rsidR="00341F21" w:rsidRDefault="00000000">
      <w:pPr>
        <w:pStyle w:val="ListParagraph"/>
        <w:numPr>
          <w:ilvl w:val="0"/>
          <w:numId w:val="2"/>
        </w:numPr>
        <w:spacing w:after="60" w:line="268" w:lineRule="auto"/>
      </w:pPr>
      <w:r>
        <w:t>Teamwork and situational judgement.</w:t>
      </w:r>
    </w:p>
    <w:p w14:paraId="6757600C" w14:textId="77777777" w:rsidR="00341F21" w:rsidRDefault="00000000">
      <w:pPr>
        <w:pStyle w:val="Heading2"/>
      </w:pPr>
      <w:bookmarkStart w:id="24" w:name="_Toc232375208"/>
      <w:r>
        <w:t>6.3 Preparing</w:t>
      </w:r>
      <w:bookmarkEnd w:id="24"/>
    </w:p>
    <w:p w14:paraId="1E0C9736" w14:textId="77777777" w:rsidR="00341F21" w:rsidRDefault="00000000">
      <w:pPr>
        <w:pStyle w:val="ListParagraph"/>
        <w:numPr>
          <w:ilvl w:val="0"/>
          <w:numId w:val="7"/>
        </w:numPr>
        <w:spacing w:after="60" w:line="268" w:lineRule="auto"/>
      </w:pPr>
      <w:r>
        <w:t>Know your personal statement cold — anything in it is fair game.</w:t>
      </w:r>
    </w:p>
    <w:p w14:paraId="6411A6D7" w14:textId="77777777" w:rsidR="00341F21" w:rsidRDefault="00000000">
      <w:pPr>
        <w:pStyle w:val="ListParagraph"/>
        <w:numPr>
          <w:ilvl w:val="0"/>
          <w:numId w:val="7"/>
        </w:numPr>
        <w:spacing w:after="60" w:line="268" w:lineRule="auto"/>
      </w:pPr>
      <w:proofErr w:type="spellStart"/>
      <w:r>
        <w:t>Practise</w:t>
      </w:r>
      <w:proofErr w:type="spellEnd"/>
      <w:r>
        <w:t xml:space="preserve"> structured answers out loud, ideally in mock MMIs.</w:t>
      </w:r>
    </w:p>
    <w:p w14:paraId="143A771A" w14:textId="77777777" w:rsidR="00341F21" w:rsidRDefault="00000000">
      <w:pPr>
        <w:pStyle w:val="ListParagraph"/>
        <w:numPr>
          <w:ilvl w:val="0"/>
          <w:numId w:val="7"/>
        </w:numPr>
        <w:spacing w:after="60" w:line="268" w:lineRule="auto"/>
      </w:pPr>
      <w:r>
        <w:t>Learn the basics of UK medical ethics and the structure of the NHS — international applicants are often asked why the UK and what they know about the NHS.</w:t>
      </w:r>
    </w:p>
    <w:p w14:paraId="21F7D0A0" w14:textId="77777777" w:rsidR="00341F21" w:rsidRDefault="00000000">
      <w:pPr>
        <w:pStyle w:val="ListParagraph"/>
        <w:numPr>
          <w:ilvl w:val="0"/>
          <w:numId w:val="7"/>
        </w:numPr>
        <w:spacing w:after="60" w:line="268" w:lineRule="auto"/>
      </w:pPr>
      <w:r>
        <w:t xml:space="preserve">Prepare a clear, honest answer to ‘why do you want to study and (where relevant) </w:t>
      </w:r>
      <w:proofErr w:type="spellStart"/>
      <w:r>
        <w:t>practise</w:t>
      </w:r>
      <w:proofErr w:type="spellEnd"/>
      <w:r>
        <w:t xml:space="preserve"> in the UK?’</w:t>
      </w:r>
    </w:p>
    <w:p w14:paraId="3B0B5C19" w14:textId="77777777" w:rsidR="00341F21" w:rsidRDefault="00000000">
      <w:pPr>
        <w:pStyle w:val="ListParagraph"/>
        <w:numPr>
          <w:ilvl w:val="0"/>
          <w:numId w:val="7"/>
        </w:numPr>
        <w:spacing w:after="60" w:line="268" w:lineRule="auto"/>
      </w:pPr>
      <w:r>
        <w:t>If interviewing online, test your camera, microphone, lighting and connection in advance, and account for time-zone differences.</w:t>
      </w:r>
    </w:p>
    <w:p w14:paraId="3DD8F9FB" w14:textId="77777777" w:rsidR="00341F21" w:rsidRDefault="00341F21">
      <w:pPr>
        <w:spacing w:after="160"/>
      </w:pPr>
    </w:p>
    <w:p w14:paraId="47FAF64A" w14:textId="77777777" w:rsidR="00341F21" w:rsidRDefault="00000000">
      <w:pPr>
        <w:pStyle w:val="Heading1"/>
      </w:pPr>
      <w:bookmarkStart w:id="25" w:name="_Toc232375209"/>
      <w:r>
        <w:t>7. Finances: The Real Cost</w:t>
      </w:r>
      <w:bookmarkEnd w:id="2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41F21" w14:paraId="5B41737F" w14:textId="77777777">
        <w:tblPrEx>
          <w:tblCellMar>
            <w:top w:w="0" w:type="dxa"/>
            <w:bottom w:w="0" w:type="dxa"/>
          </w:tblCellMar>
        </w:tblPrEx>
        <w:tc>
          <w:tcPr>
            <w:tcW w:w="9360" w:type="dxa"/>
            <w:tcBorders>
              <w:left w:val="single" w:sz="18" w:space="0" w:color="C0392B"/>
            </w:tcBorders>
            <w:shd w:val="clear" w:color="auto" w:fill="FBEAEA"/>
            <w:tcMar>
              <w:top w:w="120" w:type="dxa"/>
              <w:left w:w="200" w:type="dxa"/>
              <w:bottom w:w="120" w:type="dxa"/>
              <w:right w:w="200" w:type="dxa"/>
            </w:tcMar>
          </w:tcPr>
          <w:p w14:paraId="01C74223" w14:textId="77777777" w:rsidR="00341F21" w:rsidRDefault="00000000">
            <w:pPr>
              <w:spacing w:after="60"/>
            </w:pPr>
            <w:r>
              <w:rPr>
                <w:b/>
                <w:bCs/>
                <w:color w:val="C0392B"/>
                <w:sz w:val="22"/>
                <w:szCs w:val="22"/>
              </w:rPr>
              <w:t>Plan for the whole degree, not year one</w:t>
            </w:r>
          </w:p>
          <w:p w14:paraId="5440F69B" w14:textId="77777777" w:rsidR="00341F21" w:rsidRDefault="00000000">
            <w:r>
              <w:t>International students are not eligible for UK government tuition-</w:t>
            </w:r>
            <w:proofErr w:type="spellStart"/>
            <w:r>
              <w:t>fee</w:t>
            </w:r>
            <w:proofErr w:type="spellEnd"/>
            <w:r>
              <w:t xml:space="preserve"> loans. You must show you can fund the entire course. Two features catch people out: clinical years cost far more than pre-clinical years, and fees rise roughly 3–5% every year.</w:t>
            </w:r>
          </w:p>
        </w:tc>
      </w:tr>
    </w:tbl>
    <w:p w14:paraId="78F8C226" w14:textId="77777777" w:rsidR="00341F21" w:rsidRDefault="00000000">
      <w:pPr>
        <w:pStyle w:val="Heading2"/>
      </w:pPr>
      <w:bookmarkStart w:id="26" w:name="_Toc232375210"/>
      <w:r>
        <w:t>7.1 Tuition fees</w:t>
      </w:r>
      <w:bookmarkEnd w:id="26"/>
    </w:p>
    <w:p w14:paraId="7A3D2509" w14:textId="77777777" w:rsidR="00341F21" w:rsidRDefault="00000000">
      <w:pPr>
        <w:spacing w:after="120" w:line="276" w:lineRule="auto"/>
      </w:pPr>
      <w:r>
        <w:t xml:space="preserve">International medicine tuition broadly ranges from roughly £35,000 to £50,000+ per year, with the most expensive clinical years at some schools exceeding £60,000. Pre-clinical (classroom) years are usually cheaper than clinical (hospital) years. For comparison, UK ‘home’ students pay a capped fee an order of magnitude lower — international fees are not </w:t>
      </w:r>
      <w:proofErr w:type="spellStart"/>
      <w:r>
        <w:t>subsidised</w:t>
      </w:r>
      <w:proofErr w:type="spellEnd"/>
      <w: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3260"/>
        <w:gridCol w:w="3400"/>
      </w:tblGrid>
      <w:tr w:rsidR="00341F21" w14:paraId="401236E8" w14:textId="77777777">
        <w:tblPrEx>
          <w:tblCellMar>
            <w:top w:w="0" w:type="dxa"/>
            <w:bottom w:w="0" w:type="dxa"/>
          </w:tblCellMar>
        </w:tblPrEx>
        <w:trPr>
          <w:tblHeader/>
        </w:trPr>
        <w:tc>
          <w:tcPr>
            <w:tcW w:w="27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vAlign w:val="center"/>
          </w:tcPr>
          <w:p w14:paraId="16C2C66E" w14:textId="77777777" w:rsidR="00341F21" w:rsidRDefault="00000000">
            <w:r>
              <w:rPr>
                <w:b/>
                <w:bCs/>
                <w:color w:val="FFFFFF"/>
                <w:sz w:val="20"/>
                <w:szCs w:val="20"/>
              </w:rPr>
              <w:t>Cost element</w:t>
            </w:r>
          </w:p>
        </w:tc>
        <w:tc>
          <w:tcPr>
            <w:tcW w:w="326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vAlign w:val="center"/>
          </w:tcPr>
          <w:p w14:paraId="49431CB0" w14:textId="77777777" w:rsidR="00341F21" w:rsidRDefault="00000000">
            <w:r>
              <w:rPr>
                <w:b/>
                <w:bCs/>
                <w:color w:val="FFFFFF"/>
                <w:sz w:val="20"/>
                <w:szCs w:val="20"/>
              </w:rPr>
              <w:t>Indicative range (per year)</w:t>
            </w:r>
          </w:p>
        </w:tc>
        <w:tc>
          <w:tcPr>
            <w:tcW w:w="34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vAlign w:val="center"/>
          </w:tcPr>
          <w:p w14:paraId="2EB064A7" w14:textId="77777777" w:rsidR="00341F21" w:rsidRDefault="00000000">
            <w:r>
              <w:rPr>
                <w:b/>
                <w:bCs/>
                <w:color w:val="FFFFFF"/>
                <w:sz w:val="20"/>
                <w:szCs w:val="20"/>
              </w:rPr>
              <w:t>Notes</w:t>
            </w:r>
          </w:p>
        </w:tc>
      </w:tr>
      <w:tr w:rsidR="00341F21" w14:paraId="17AC66A4"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15D12CC3" w14:textId="77777777" w:rsidR="00341F21" w:rsidRDefault="00000000">
            <w:r>
              <w:rPr>
                <w:sz w:val="19"/>
                <w:szCs w:val="19"/>
              </w:rPr>
              <w:t>Tuition – pre-clinical</w:t>
            </w:r>
          </w:p>
        </w:tc>
        <w:tc>
          <w:tcPr>
            <w:tcW w:w="32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14AEFD73" w14:textId="77777777" w:rsidR="00341F21" w:rsidRDefault="00000000">
            <w:r>
              <w:rPr>
                <w:sz w:val="19"/>
                <w:szCs w:val="19"/>
              </w:rPr>
              <w:t>~£35,000–£50,000</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183DD8A1" w14:textId="77777777" w:rsidR="00341F21" w:rsidRDefault="00000000">
            <w:r>
              <w:rPr>
                <w:sz w:val="19"/>
                <w:szCs w:val="19"/>
              </w:rPr>
              <w:t>Lower-cost schools sit at the bottom of this band</w:t>
            </w:r>
          </w:p>
        </w:tc>
      </w:tr>
      <w:tr w:rsidR="00341F21" w14:paraId="209A33B7"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4BEA665D" w14:textId="77777777" w:rsidR="00341F21" w:rsidRDefault="00000000">
            <w:r>
              <w:rPr>
                <w:sz w:val="19"/>
                <w:szCs w:val="19"/>
              </w:rPr>
              <w:lastRenderedPageBreak/>
              <w:t>Tuition – clinical</w:t>
            </w:r>
          </w:p>
        </w:tc>
        <w:tc>
          <w:tcPr>
            <w:tcW w:w="326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7A65CDE1" w14:textId="77777777" w:rsidR="00341F21" w:rsidRDefault="00000000">
            <w:r>
              <w:rPr>
                <w:sz w:val="19"/>
                <w:szCs w:val="19"/>
              </w:rPr>
              <w:t>~£45,000–£65,000+</w:t>
            </w:r>
          </w:p>
        </w:tc>
        <w:tc>
          <w:tcPr>
            <w:tcW w:w="340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2E98379C" w14:textId="77777777" w:rsidR="00341F21" w:rsidRDefault="00000000">
            <w:r>
              <w:rPr>
                <w:sz w:val="19"/>
                <w:szCs w:val="19"/>
              </w:rPr>
              <w:t>Clinical years are typically more expensive; some schools add a placement levy</w:t>
            </w:r>
          </w:p>
        </w:tc>
      </w:tr>
      <w:tr w:rsidR="00341F21" w14:paraId="648D82CA"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56BEB75D" w14:textId="77777777" w:rsidR="00341F21" w:rsidRDefault="00000000">
            <w:r>
              <w:rPr>
                <w:sz w:val="19"/>
                <w:szCs w:val="19"/>
              </w:rPr>
              <w:t>Annual fee increase</w:t>
            </w:r>
          </w:p>
        </w:tc>
        <w:tc>
          <w:tcPr>
            <w:tcW w:w="32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6D8D5A5A" w14:textId="77777777" w:rsidR="00341F21" w:rsidRDefault="00000000">
            <w:r>
              <w:rPr>
                <w:sz w:val="19"/>
                <w:szCs w:val="19"/>
              </w:rPr>
              <w:t>~3–5%</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62D01A4A" w14:textId="77777777" w:rsidR="00341F21" w:rsidRDefault="00000000">
            <w:r>
              <w:rPr>
                <w:sz w:val="19"/>
                <w:szCs w:val="19"/>
              </w:rPr>
              <w:t>Budget for rises across 5–6 years</w:t>
            </w:r>
          </w:p>
        </w:tc>
      </w:tr>
      <w:tr w:rsidR="00341F21" w14:paraId="3B0268AA"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23DF6D88" w14:textId="77777777" w:rsidR="00341F21" w:rsidRDefault="00000000">
            <w:r>
              <w:rPr>
                <w:sz w:val="19"/>
                <w:szCs w:val="19"/>
              </w:rPr>
              <w:t>College fee (Oxbridge only)</w:t>
            </w:r>
          </w:p>
        </w:tc>
        <w:tc>
          <w:tcPr>
            <w:tcW w:w="326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4D79AE55" w14:textId="77777777" w:rsidR="00341F21" w:rsidRDefault="00000000">
            <w:r>
              <w:rPr>
                <w:sz w:val="19"/>
                <w:szCs w:val="19"/>
              </w:rPr>
              <w:t>~£11,500–£14,500</w:t>
            </w:r>
          </w:p>
        </w:tc>
        <w:tc>
          <w:tcPr>
            <w:tcW w:w="340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5021C7FF" w14:textId="77777777" w:rsidR="00341F21" w:rsidRDefault="00000000">
            <w:r>
              <w:rPr>
                <w:sz w:val="19"/>
                <w:szCs w:val="19"/>
              </w:rPr>
              <w:t>Charged on top of tuition at Oxford/Cambridge</w:t>
            </w:r>
          </w:p>
        </w:tc>
      </w:tr>
    </w:tbl>
    <w:p w14:paraId="6676123B" w14:textId="77777777" w:rsidR="00341F21" w:rsidRDefault="00000000">
      <w:pPr>
        <w:spacing w:after="120" w:line="276" w:lineRule="auto"/>
      </w:pPr>
      <w:r>
        <w:t>These are planning bands only. Always read the exact, year-by-year fee schedule on each school’s fees page — do not assume the Year 1 figure applies throughout.</w:t>
      </w:r>
    </w:p>
    <w:p w14:paraId="5AA63E6B" w14:textId="77777777" w:rsidR="00341F21" w:rsidRDefault="00000000">
      <w:pPr>
        <w:pStyle w:val="Heading2"/>
      </w:pPr>
      <w:bookmarkStart w:id="27" w:name="_Toc232375211"/>
      <w:r>
        <w:t>7.2 Living costs and other expenses</w:t>
      </w:r>
      <w:bookmarkEnd w:id="27"/>
    </w:p>
    <w:p w14:paraId="36B578AC" w14:textId="77777777" w:rsidR="00341F21" w:rsidRDefault="00000000">
      <w:pPr>
        <w:pStyle w:val="ListParagraph"/>
        <w:numPr>
          <w:ilvl w:val="0"/>
          <w:numId w:val="2"/>
        </w:numPr>
        <w:spacing w:after="60" w:line="268" w:lineRule="auto"/>
      </w:pPr>
      <w:r>
        <w:t>Living costs: London is markedly more expensive than most other cities (Belfast, Cardiff, Glasgow, Dundee, Leeds tend to be cheaper).</w:t>
      </w:r>
    </w:p>
    <w:p w14:paraId="6AE3243E" w14:textId="77777777" w:rsidR="00341F21" w:rsidRDefault="00000000">
      <w:pPr>
        <w:pStyle w:val="ListParagraph"/>
        <w:numPr>
          <w:ilvl w:val="0"/>
          <w:numId w:val="2"/>
        </w:numPr>
        <w:spacing w:after="60" w:line="268" w:lineRule="auto"/>
      </w:pPr>
      <w:r>
        <w:t>Visa application fee and the Immigration Health Surcharge (IHS), paid up front for the full visa length — this can be several thousand pounds.</w:t>
      </w:r>
    </w:p>
    <w:p w14:paraId="26F23C7C" w14:textId="77777777" w:rsidR="00341F21" w:rsidRDefault="00000000">
      <w:pPr>
        <w:pStyle w:val="ListParagraph"/>
        <w:numPr>
          <w:ilvl w:val="0"/>
          <w:numId w:val="2"/>
        </w:numPr>
        <w:spacing w:after="60" w:line="268" w:lineRule="auto"/>
      </w:pPr>
      <w:r>
        <w:t>Equipment and books (stethoscope, clinical kit, question banks).</w:t>
      </w:r>
    </w:p>
    <w:p w14:paraId="36073258" w14:textId="77777777" w:rsidR="00341F21" w:rsidRDefault="00000000">
      <w:pPr>
        <w:pStyle w:val="ListParagraph"/>
        <w:numPr>
          <w:ilvl w:val="0"/>
          <w:numId w:val="2"/>
        </w:numPr>
        <w:spacing w:after="60" w:line="268" w:lineRule="auto"/>
      </w:pPr>
      <w:r>
        <w:t>Travel home, insurance, and placement travel in clinical years.</w:t>
      </w:r>
    </w:p>
    <w:p w14:paraId="4D2336E1" w14:textId="77777777" w:rsidR="00341F21" w:rsidRDefault="00000000">
      <w:pPr>
        <w:pStyle w:val="Heading2"/>
      </w:pPr>
      <w:bookmarkStart w:id="28" w:name="_Toc232375212"/>
      <w:r>
        <w:t>7.3 Funding routes</w:t>
      </w:r>
      <w:bookmarkEnd w:id="28"/>
    </w:p>
    <w:p w14:paraId="5AFD3891" w14:textId="77777777" w:rsidR="00341F21" w:rsidRDefault="00000000">
      <w:pPr>
        <w:pStyle w:val="ListParagraph"/>
        <w:numPr>
          <w:ilvl w:val="0"/>
          <w:numId w:val="2"/>
        </w:numPr>
        <w:spacing w:after="60" w:line="268" w:lineRule="auto"/>
      </w:pPr>
      <w:r>
        <w:t>Personal / family funding (the most common route, given limited external aid).</w:t>
      </w:r>
    </w:p>
    <w:p w14:paraId="3F7002EB" w14:textId="77777777" w:rsidR="00341F21" w:rsidRDefault="00000000">
      <w:pPr>
        <w:pStyle w:val="ListParagraph"/>
        <w:numPr>
          <w:ilvl w:val="0"/>
          <w:numId w:val="2"/>
        </w:numPr>
        <w:spacing w:after="60" w:line="268" w:lineRule="auto"/>
      </w:pPr>
      <w:r>
        <w:t>A small number of university international scholarships and bursaries — competitive and rarely full-cost; check each school.</w:t>
      </w:r>
    </w:p>
    <w:p w14:paraId="472CCEF5" w14:textId="77777777" w:rsidR="00341F21" w:rsidRDefault="00000000">
      <w:pPr>
        <w:pStyle w:val="ListParagraph"/>
        <w:numPr>
          <w:ilvl w:val="0"/>
          <w:numId w:val="2"/>
        </w:numPr>
        <w:spacing w:after="60" w:line="268" w:lineRule="auto"/>
      </w:pPr>
      <w:r>
        <w:t>Home-country scholarships, sponsorships, or education loans from banks in your country.</w:t>
      </w:r>
    </w:p>
    <w:p w14:paraId="1D0C61D3" w14:textId="77777777" w:rsidR="00341F21" w:rsidRDefault="00000000">
      <w:pPr>
        <w:pStyle w:val="ListParagraph"/>
        <w:numPr>
          <w:ilvl w:val="0"/>
          <w:numId w:val="2"/>
        </w:numPr>
        <w:spacing w:after="60" w:line="268" w:lineRule="auto"/>
      </w:pPr>
      <w:r>
        <w:t>Part-time work is limited by visa conditions (commonly up to 20 hours/week in term time) — never rely on it to fund tuition.</w:t>
      </w:r>
    </w:p>
    <w:p w14:paraId="7F11A6CD" w14:textId="77777777" w:rsidR="00341F21" w:rsidRDefault="00341F21">
      <w:pPr>
        <w:spacing w:after="160"/>
      </w:pPr>
    </w:p>
    <w:p w14:paraId="63390DCB" w14:textId="77777777" w:rsidR="00341F21" w:rsidRDefault="00000000">
      <w:pPr>
        <w:pStyle w:val="Heading1"/>
      </w:pPr>
      <w:bookmarkStart w:id="29" w:name="_Toc232375213"/>
      <w:r>
        <w:t>8. Visas &amp; Immigration</w:t>
      </w:r>
      <w:bookmarkEnd w:id="2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41F21" w14:paraId="296A483E" w14:textId="77777777">
        <w:tblPrEx>
          <w:tblCellMar>
            <w:top w:w="0" w:type="dxa"/>
            <w:bottom w:w="0" w:type="dxa"/>
          </w:tblCellMar>
        </w:tblPrEx>
        <w:tc>
          <w:tcPr>
            <w:tcW w:w="9360" w:type="dxa"/>
            <w:tcBorders>
              <w:left w:val="single" w:sz="18" w:space="0" w:color="C0392B"/>
            </w:tcBorders>
            <w:shd w:val="clear" w:color="auto" w:fill="FBEAEA"/>
            <w:tcMar>
              <w:top w:w="120" w:type="dxa"/>
              <w:left w:w="200" w:type="dxa"/>
              <w:bottom w:w="120" w:type="dxa"/>
              <w:right w:w="200" w:type="dxa"/>
            </w:tcMar>
          </w:tcPr>
          <w:p w14:paraId="1ED3003C" w14:textId="77777777" w:rsidR="00341F21" w:rsidRDefault="00000000">
            <w:pPr>
              <w:spacing w:after="60"/>
            </w:pPr>
            <w:r>
              <w:rPr>
                <w:b/>
                <w:bCs/>
                <w:color w:val="C0392B"/>
                <w:sz w:val="22"/>
                <w:szCs w:val="22"/>
              </w:rPr>
              <w:t>Confirm everything on GOV.UK</w:t>
            </w:r>
          </w:p>
          <w:p w14:paraId="1FBCCF52" w14:textId="77777777" w:rsidR="00341F21" w:rsidRDefault="00000000">
            <w:r>
              <w:t xml:space="preserve">Immigration rules, fees, the </w:t>
            </w:r>
            <w:proofErr w:type="gramStart"/>
            <w:r>
              <w:t>financial-evidence</w:t>
            </w:r>
            <w:proofErr w:type="gramEnd"/>
            <w:r>
              <w:t xml:space="preserve"> amounts and the Immigration Health Surcharge change frequently and without much notice. Treat this section as orientation and verify the live requirements on the official UK government website before acting.</w:t>
            </w:r>
          </w:p>
        </w:tc>
      </w:tr>
    </w:tbl>
    <w:p w14:paraId="6D6248FD" w14:textId="77777777" w:rsidR="00341F21" w:rsidRDefault="00000000">
      <w:pPr>
        <w:pStyle w:val="Heading2"/>
      </w:pPr>
      <w:bookmarkStart w:id="30" w:name="_Toc232375214"/>
      <w:r>
        <w:t>8.1 The Student visa</w:t>
      </w:r>
      <w:bookmarkEnd w:id="30"/>
    </w:p>
    <w:p w14:paraId="6E970346" w14:textId="77777777" w:rsidR="00341F21" w:rsidRDefault="00000000">
      <w:pPr>
        <w:spacing w:after="120" w:line="276" w:lineRule="auto"/>
      </w:pPr>
      <w:r>
        <w:t xml:space="preserve">To study medicine in the UK you need a </w:t>
      </w:r>
      <w:proofErr w:type="gramStart"/>
      <w:r>
        <w:t>Student</w:t>
      </w:r>
      <w:proofErr w:type="gramEnd"/>
      <w:r>
        <w:t xml:space="preserve"> visa (the route formerly called Tier 4). The core steps:</w:t>
      </w:r>
    </w:p>
    <w:p w14:paraId="32658DE4" w14:textId="77777777" w:rsidR="00341F21" w:rsidRDefault="00000000">
      <w:pPr>
        <w:pStyle w:val="ListParagraph"/>
        <w:numPr>
          <w:ilvl w:val="0"/>
          <w:numId w:val="8"/>
        </w:numPr>
        <w:spacing w:after="60" w:line="268" w:lineRule="auto"/>
      </w:pPr>
      <w:r>
        <w:t>Receive an unconditional offer (or meet your conditions) from a licensed student sponsor — all UK medical schools are licensed sponsors.</w:t>
      </w:r>
    </w:p>
    <w:p w14:paraId="7D01283C" w14:textId="77777777" w:rsidR="00341F21" w:rsidRDefault="00000000">
      <w:pPr>
        <w:pStyle w:val="ListParagraph"/>
        <w:numPr>
          <w:ilvl w:val="0"/>
          <w:numId w:val="8"/>
        </w:numPr>
        <w:spacing w:after="60" w:line="268" w:lineRule="auto"/>
      </w:pPr>
      <w:r>
        <w:t>The university issues a CAS (Confirmation of Acceptance for Studies) — a reference number you need to apply.</w:t>
      </w:r>
    </w:p>
    <w:p w14:paraId="30717FC8" w14:textId="77777777" w:rsidR="00341F21" w:rsidRDefault="00000000">
      <w:pPr>
        <w:pStyle w:val="ListParagraph"/>
        <w:numPr>
          <w:ilvl w:val="0"/>
          <w:numId w:val="8"/>
        </w:numPr>
        <w:spacing w:after="60" w:line="268" w:lineRule="auto"/>
      </w:pPr>
      <w:r>
        <w:t>Prove your English language ability (often already satisfied by your offer conditions).</w:t>
      </w:r>
    </w:p>
    <w:p w14:paraId="0D3FEA69" w14:textId="77777777" w:rsidR="00341F21" w:rsidRDefault="00000000">
      <w:pPr>
        <w:pStyle w:val="ListParagraph"/>
        <w:numPr>
          <w:ilvl w:val="0"/>
          <w:numId w:val="8"/>
        </w:numPr>
        <w:spacing w:after="60" w:line="268" w:lineRule="auto"/>
      </w:pPr>
      <w:r>
        <w:lastRenderedPageBreak/>
        <w:t>Show the required funds: tuition for your first year plus living costs for a set number of months. London and outside-London have different living-cost figures.</w:t>
      </w:r>
    </w:p>
    <w:p w14:paraId="68106DF2" w14:textId="77777777" w:rsidR="00341F21" w:rsidRDefault="00000000">
      <w:pPr>
        <w:pStyle w:val="ListParagraph"/>
        <w:numPr>
          <w:ilvl w:val="0"/>
          <w:numId w:val="8"/>
        </w:numPr>
        <w:spacing w:after="60" w:line="268" w:lineRule="auto"/>
      </w:pPr>
      <w:r>
        <w:t>Pay the visa fee and the Immigration Health Surcharge, which gives you access to the NHS.</w:t>
      </w:r>
    </w:p>
    <w:p w14:paraId="5956D8C5" w14:textId="77777777" w:rsidR="00341F21" w:rsidRDefault="00000000">
      <w:pPr>
        <w:pStyle w:val="ListParagraph"/>
        <w:numPr>
          <w:ilvl w:val="0"/>
          <w:numId w:val="8"/>
        </w:numPr>
        <w:spacing w:after="60" w:line="268" w:lineRule="auto"/>
      </w:pPr>
      <w:r>
        <w:t xml:space="preserve">Complete a TB test if you are from a listed </w:t>
      </w:r>
      <w:proofErr w:type="gramStart"/>
      <w:r>
        <w:t>country, and</w:t>
      </w:r>
      <w:proofErr w:type="gramEnd"/>
      <w:r>
        <w:t xml:space="preserve"> attend biometrics.</w:t>
      </w:r>
    </w:p>
    <w:p w14:paraId="73C6E111" w14:textId="77777777" w:rsidR="00341F21" w:rsidRDefault="00000000">
      <w:pPr>
        <w:pStyle w:val="Heading2"/>
      </w:pPr>
      <w:bookmarkStart w:id="31" w:name="_Toc232375215"/>
      <w:r>
        <w:t>8.2 Financial evidence</w:t>
      </w:r>
      <w:bookmarkEnd w:id="31"/>
    </w:p>
    <w:p w14:paraId="2FB551C5" w14:textId="77777777" w:rsidR="00341F21" w:rsidRDefault="00000000">
      <w:pPr>
        <w:spacing w:after="120" w:line="276" w:lineRule="auto"/>
      </w:pPr>
      <w:r>
        <w:t>You must usually show the money has been held in an eligible account for a continuous period (commonly 28 days) ending shortly before you apply. Plan your finances so the funds are in place and seasoned well ahead of the application — last-minute transfers are a frequent cause of refusal.</w:t>
      </w:r>
    </w:p>
    <w:p w14:paraId="5A0ED180" w14:textId="77777777" w:rsidR="00341F21" w:rsidRDefault="00000000">
      <w:pPr>
        <w:pStyle w:val="Heading2"/>
      </w:pPr>
      <w:bookmarkStart w:id="32" w:name="_Toc232375216"/>
      <w:r>
        <w:t>8.3 Working and after graduation</w:t>
      </w:r>
      <w:bookmarkEnd w:id="32"/>
    </w:p>
    <w:p w14:paraId="0587FAAA" w14:textId="77777777" w:rsidR="00341F21" w:rsidRDefault="00000000">
      <w:pPr>
        <w:pStyle w:val="ListParagraph"/>
        <w:numPr>
          <w:ilvl w:val="0"/>
          <w:numId w:val="2"/>
        </w:numPr>
        <w:spacing w:after="60" w:line="268" w:lineRule="auto"/>
      </w:pPr>
      <w:r>
        <w:t>Term-time work is capped (commonly 20 hours/week) and full-time in holidays, subject to your visa.</w:t>
      </w:r>
    </w:p>
    <w:p w14:paraId="4CA7F318" w14:textId="77777777" w:rsidR="00341F21" w:rsidRDefault="00000000">
      <w:pPr>
        <w:pStyle w:val="ListParagraph"/>
        <w:numPr>
          <w:ilvl w:val="0"/>
          <w:numId w:val="2"/>
        </w:numPr>
        <w:spacing w:after="60" w:line="268" w:lineRule="auto"/>
      </w:pPr>
      <w:r>
        <w:t xml:space="preserve">After graduating, the Graduate route has historically allowed a period of post-study work; the Foundation </w:t>
      </w:r>
      <w:proofErr w:type="spellStart"/>
      <w:r>
        <w:t>Programme</w:t>
      </w:r>
      <w:proofErr w:type="spellEnd"/>
      <w:r>
        <w:t xml:space="preserve"> and longer-term registration/work rights are governed by separate, changeable rules.</w:t>
      </w:r>
    </w:p>
    <w:p w14:paraId="6225C76B" w14:textId="77777777" w:rsidR="00341F21" w:rsidRDefault="00000000">
      <w:pPr>
        <w:pStyle w:val="ListParagraph"/>
        <w:numPr>
          <w:ilvl w:val="0"/>
          <w:numId w:val="2"/>
        </w:numPr>
        <w:spacing w:after="60" w:line="268" w:lineRule="auto"/>
      </w:pPr>
      <w:r>
        <w:t xml:space="preserve">If you intend to </w:t>
      </w:r>
      <w:proofErr w:type="spellStart"/>
      <w:r>
        <w:t>practise</w:t>
      </w:r>
      <w:proofErr w:type="spellEnd"/>
      <w:r>
        <w:t xml:space="preserve"> in the UK long-term, research GMC registration and the current post-study immigration routes early — well before final year.</w:t>
      </w:r>
    </w:p>
    <w:p w14:paraId="5E603CB2" w14:textId="77777777" w:rsidR="00341F21" w:rsidRDefault="00341F21">
      <w:pPr>
        <w:spacing w:after="160"/>
      </w:pPr>
    </w:p>
    <w:p w14:paraId="2D0556ED" w14:textId="77777777" w:rsidR="00341F21" w:rsidRDefault="00000000">
      <w:pPr>
        <w:pStyle w:val="Heading1"/>
      </w:pPr>
      <w:bookmarkStart w:id="33" w:name="_Toc232375217"/>
      <w:r>
        <w:t>9. Notes for Applicants from Korea</w:t>
      </w:r>
      <w:bookmarkEnd w:id="33"/>
    </w:p>
    <w:p w14:paraId="40E488E8" w14:textId="77777777" w:rsidR="00341F21" w:rsidRDefault="00000000">
      <w:pPr>
        <w:spacing w:after="120" w:line="276" w:lineRule="auto"/>
      </w:pPr>
      <w:r>
        <w:t>KUMAS members frequently ask the same questions. A few targeted pointers (verify specifics per school):</w:t>
      </w:r>
    </w:p>
    <w:p w14:paraId="1A64F8B6" w14:textId="77777777" w:rsidR="00341F21" w:rsidRDefault="00000000">
      <w:pPr>
        <w:pStyle w:val="ListParagraph"/>
        <w:numPr>
          <w:ilvl w:val="0"/>
          <w:numId w:val="2"/>
        </w:numPr>
        <w:spacing w:after="60" w:line="268" w:lineRule="auto"/>
      </w:pPr>
      <w:r>
        <w:rPr>
          <w:b/>
          <w:bCs/>
        </w:rPr>
        <w:t xml:space="preserve">Qualifications: </w:t>
      </w:r>
      <w:r>
        <w:t xml:space="preserve">a Korean high-school diploma / </w:t>
      </w:r>
      <w:proofErr w:type="spellStart"/>
      <w:r>
        <w:t>Suneung</w:t>
      </w:r>
      <w:proofErr w:type="spellEnd"/>
      <w:r>
        <w:t xml:space="preserve"> alone is often not accepted as direct entry. Many applicants route in via A-levels, the IB, AP plus additional study, or a </w:t>
      </w:r>
      <w:proofErr w:type="spellStart"/>
      <w:r>
        <w:t>recognised</w:t>
      </w:r>
      <w:proofErr w:type="spellEnd"/>
      <w:r>
        <w:t xml:space="preserve"> international foundation year. Check each school’s international equivalency page.</w:t>
      </w:r>
    </w:p>
    <w:p w14:paraId="2EA61C16" w14:textId="77777777" w:rsidR="00341F21" w:rsidRDefault="00000000">
      <w:pPr>
        <w:pStyle w:val="ListParagraph"/>
        <w:numPr>
          <w:ilvl w:val="0"/>
          <w:numId w:val="2"/>
        </w:numPr>
        <w:spacing w:after="60" w:line="268" w:lineRule="auto"/>
      </w:pPr>
      <w:r>
        <w:rPr>
          <w:b/>
          <w:bCs/>
        </w:rPr>
        <w:t xml:space="preserve">English: </w:t>
      </w:r>
      <w:r>
        <w:t>even strong English speakers must usually evidence it formally (IELTS/OET) unless exempt. Book early.</w:t>
      </w:r>
    </w:p>
    <w:p w14:paraId="359033C9" w14:textId="77777777" w:rsidR="00341F21" w:rsidRDefault="00000000">
      <w:pPr>
        <w:pStyle w:val="ListParagraph"/>
        <w:numPr>
          <w:ilvl w:val="0"/>
          <w:numId w:val="2"/>
        </w:numPr>
        <w:spacing w:after="60" w:line="268" w:lineRule="auto"/>
      </w:pPr>
      <w:r>
        <w:rPr>
          <w:b/>
          <w:bCs/>
        </w:rPr>
        <w:t xml:space="preserve">Documents: </w:t>
      </w:r>
      <w:r>
        <w:t>transcripts, certificates and references may need certified English translations — start these months ahead.</w:t>
      </w:r>
    </w:p>
    <w:p w14:paraId="781F7DE8" w14:textId="77777777" w:rsidR="00341F21" w:rsidRDefault="00000000">
      <w:pPr>
        <w:pStyle w:val="ListParagraph"/>
        <w:numPr>
          <w:ilvl w:val="0"/>
          <w:numId w:val="2"/>
        </w:numPr>
        <w:spacing w:after="60" w:line="268" w:lineRule="auto"/>
      </w:pPr>
      <w:r>
        <w:rPr>
          <w:b/>
          <w:bCs/>
        </w:rPr>
        <w:t xml:space="preserve">Military service: </w:t>
      </w:r>
      <w:r>
        <w:t>if relevant, plan how mandatory service interacts with a 5–</w:t>
      </w:r>
      <w:proofErr w:type="gramStart"/>
      <w:r>
        <w:t>6 year</w:t>
      </w:r>
      <w:proofErr w:type="gramEnd"/>
      <w:r>
        <w:t xml:space="preserve"> course and visa continuity.</w:t>
      </w:r>
    </w:p>
    <w:p w14:paraId="6B2E2FF4" w14:textId="77777777" w:rsidR="00341F21" w:rsidRDefault="00000000">
      <w:pPr>
        <w:pStyle w:val="ListParagraph"/>
        <w:numPr>
          <w:ilvl w:val="0"/>
          <w:numId w:val="2"/>
        </w:numPr>
        <w:spacing w:after="60" w:line="268" w:lineRule="auto"/>
      </w:pPr>
      <w:r>
        <w:rPr>
          <w:b/>
          <w:bCs/>
        </w:rPr>
        <w:t xml:space="preserve">Community: </w:t>
      </w:r>
      <w:r>
        <w:t>KUMAS exists precisely to help with these crossings — lean on members who have already navigated the same documents, visas and interviews.</w:t>
      </w:r>
    </w:p>
    <w:p w14:paraId="65F29B73" w14:textId="77777777" w:rsidR="00341F21" w:rsidRDefault="00341F21">
      <w:pPr>
        <w:spacing w:after="160"/>
      </w:pPr>
    </w:p>
    <w:p w14:paraId="274275B4" w14:textId="77777777" w:rsidR="00341F21" w:rsidRDefault="00000000">
      <w:pPr>
        <w:pStyle w:val="Heading1"/>
      </w:pPr>
      <w:bookmarkStart w:id="34" w:name="_Toc232375218"/>
      <w:r>
        <w:t>10. Quick-Reference Checklist</w:t>
      </w:r>
      <w:bookmarkEnd w:id="3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5360"/>
        <w:gridCol w:w="1800"/>
      </w:tblGrid>
      <w:tr w:rsidR="00341F21" w14:paraId="7E03D5D1" w14:textId="77777777">
        <w:tblPrEx>
          <w:tblCellMar>
            <w:top w:w="0" w:type="dxa"/>
            <w:bottom w:w="0" w:type="dxa"/>
          </w:tblCellMar>
        </w:tblPrEx>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vAlign w:val="center"/>
          </w:tcPr>
          <w:p w14:paraId="3BAA3596" w14:textId="77777777" w:rsidR="00341F21" w:rsidRDefault="00000000">
            <w:r>
              <w:rPr>
                <w:b/>
                <w:bCs/>
                <w:color w:val="FFFFFF"/>
                <w:sz w:val="20"/>
                <w:szCs w:val="20"/>
              </w:rPr>
              <w:t>Stage</w:t>
            </w:r>
          </w:p>
        </w:tc>
        <w:tc>
          <w:tcPr>
            <w:tcW w:w="536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vAlign w:val="center"/>
          </w:tcPr>
          <w:p w14:paraId="0BD68201" w14:textId="77777777" w:rsidR="00341F21" w:rsidRDefault="00000000">
            <w:r>
              <w:rPr>
                <w:b/>
                <w:bCs/>
                <w:color w:val="FFFFFF"/>
                <w:sz w:val="20"/>
                <w:szCs w:val="20"/>
              </w:rPr>
              <w:t>Action</w:t>
            </w:r>
          </w:p>
        </w:tc>
        <w:tc>
          <w:tcPr>
            <w:tcW w:w="18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vAlign w:val="center"/>
          </w:tcPr>
          <w:p w14:paraId="3F4610EB" w14:textId="77777777" w:rsidR="00341F21" w:rsidRDefault="00000000">
            <w:r>
              <w:rPr>
                <w:b/>
                <w:bCs/>
                <w:color w:val="FFFFFF"/>
                <w:sz w:val="20"/>
                <w:szCs w:val="20"/>
              </w:rPr>
              <w:t>Done?</w:t>
            </w:r>
          </w:p>
        </w:tc>
      </w:tr>
      <w:tr w:rsidR="00341F21" w14:paraId="735EE59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742EB9F2" w14:textId="77777777" w:rsidR="00341F21" w:rsidRDefault="00000000">
            <w:r>
              <w:rPr>
                <w:sz w:val="19"/>
                <w:szCs w:val="19"/>
              </w:rPr>
              <w:t>Research</w:t>
            </w:r>
          </w:p>
        </w:tc>
        <w:tc>
          <w:tcPr>
            <w:tcW w:w="5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3FA05EE4" w14:textId="77777777" w:rsidR="00341F21" w:rsidRDefault="00000000">
            <w:r>
              <w:rPr>
                <w:sz w:val="19"/>
                <w:szCs w:val="19"/>
              </w:rPr>
              <w:t>Shortlist schools by quota, UCAT method, course style, fees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066532EA" w14:textId="77777777" w:rsidR="00341F21" w:rsidRDefault="00000000">
            <w:r>
              <w:rPr>
                <w:sz w:val="19"/>
                <w:szCs w:val="19"/>
              </w:rPr>
              <w:t>☐</w:t>
            </w:r>
          </w:p>
        </w:tc>
      </w:tr>
      <w:tr w:rsidR="00341F21" w14:paraId="09CB32E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1A99CC1C" w14:textId="77777777" w:rsidR="00341F21" w:rsidRDefault="00000000">
            <w:r>
              <w:rPr>
                <w:sz w:val="19"/>
                <w:szCs w:val="19"/>
              </w:rPr>
              <w:t>English</w:t>
            </w:r>
          </w:p>
        </w:tc>
        <w:tc>
          <w:tcPr>
            <w:tcW w:w="536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19381F52" w14:textId="77777777" w:rsidR="00341F21" w:rsidRDefault="00000000">
            <w:r>
              <w:rPr>
                <w:sz w:val="19"/>
                <w:szCs w:val="19"/>
              </w:rPr>
              <w:t>Book and sit IELTS/OET if required</w:t>
            </w:r>
          </w:p>
        </w:tc>
        <w:tc>
          <w:tcPr>
            <w:tcW w:w="180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19165BC4" w14:textId="77777777" w:rsidR="00341F21" w:rsidRDefault="00000000">
            <w:r>
              <w:rPr>
                <w:sz w:val="19"/>
                <w:szCs w:val="19"/>
              </w:rPr>
              <w:t>☐</w:t>
            </w:r>
          </w:p>
        </w:tc>
      </w:tr>
      <w:tr w:rsidR="00341F21" w14:paraId="2AF94EA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536D0423" w14:textId="77777777" w:rsidR="00341F21" w:rsidRDefault="00000000">
            <w:r>
              <w:rPr>
                <w:sz w:val="19"/>
                <w:szCs w:val="19"/>
              </w:rPr>
              <w:lastRenderedPageBreak/>
              <w:t>Equivalency</w:t>
            </w:r>
          </w:p>
        </w:tc>
        <w:tc>
          <w:tcPr>
            <w:tcW w:w="5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18449759" w14:textId="77777777" w:rsidR="00341F21" w:rsidRDefault="00000000">
            <w:r>
              <w:rPr>
                <w:sz w:val="19"/>
                <w:szCs w:val="19"/>
              </w:rPr>
              <w:t>Confirm your qualification is accepted at each target school</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1A6EE2A3" w14:textId="77777777" w:rsidR="00341F21" w:rsidRDefault="00000000">
            <w:r>
              <w:rPr>
                <w:sz w:val="19"/>
                <w:szCs w:val="19"/>
              </w:rPr>
              <w:t>☐</w:t>
            </w:r>
          </w:p>
        </w:tc>
      </w:tr>
      <w:tr w:rsidR="00341F21" w14:paraId="262A385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394A0793" w14:textId="77777777" w:rsidR="00341F21" w:rsidRDefault="00000000">
            <w:r>
              <w:rPr>
                <w:sz w:val="19"/>
                <w:szCs w:val="19"/>
              </w:rPr>
              <w:t>UCAT</w:t>
            </w:r>
          </w:p>
        </w:tc>
        <w:tc>
          <w:tcPr>
            <w:tcW w:w="536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681155C3" w14:textId="77777777" w:rsidR="00341F21" w:rsidRDefault="00000000">
            <w:r>
              <w:rPr>
                <w:sz w:val="19"/>
                <w:szCs w:val="19"/>
              </w:rPr>
              <w:t>Register, book a slot abroad early, sit the test</w:t>
            </w:r>
          </w:p>
        </w:tc>
        <w:tc>
          <w:tcPr>
            <w:tcW w:w="180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7C13FEFD" w14:textId="77777777" w:rsidR="00341F21" w:rsidRDefault="00000000">
            <w:r>
              <w:rPr>
                <w:sz w:val="19"/>
                <w:szCs w:val="19"/>
              </w:rPr>
              <w:t>☐</w:t>
            </w:r>
          </w:p>
        </w:tc>
      </w:tr>
      <w:tr w:rsidR="00341F21" w14:paraId="68AA1C2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3CC0CC0E" w14:textId="77777777" w:rsidR="00341F21" w:rsidRDefault="00000000">
            <w:r>
              <w:rPr>
                <w:sz w:val="19"/>
                <w:szCs w:val="19"/>
              </w:rPr>
              <w:t>Choices</w:t>
            </w:r>
          </w:p>
        </w:tc>
        <w:tc>
          <w:tcPr>
            <w:tcW w:w="5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4B611C7D" w14:textId="77777777" w:rsidR="00341F21" w:rsidRDefault="00000000">
            <w:r>
              <w:rPr>
                <w:sz w:val="19"/>
                <w:szCs w:val="19"/>
              </w:rPr>
              <w:t>Pick 4 medicine + 1 non-medicine insurance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678EB45C" w14:textId="77777777" w:rsidR="00341F21" w:rsidRDefault="00000000">
            <w:r>
              <w:rPr>
                <w:sz w:val="19"/>
                <w:szCs w:val="19"/>
              </w:rPr>
              <w:t>☐</w:t>
            </w:r>
          </w:p>
        </w:tc>
      </w:tr>
      <w:tr w:rsidR="00341F21" w14:paraId="073AE96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610762EE" w14:textId="77777777" w:rsidR="00341F21" w:rsidRDefault="00000000">
            <w:r>
              <w:rPr>
                <w:sz w:val="19"/>
                <w:szCs w:val="19"/>
              </w:rPr>
              <w:t>Statement</w:t>
            </w:r>
          </w:p>
        </w:tc>
        <w:tc>
          <w:tcPr>
            <w:tcW w:w="536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736B1EF9" w14:textId="77777777" w:rsidR="00341F21" w:rsidRDefault="00000000">
            <w:r>
              <w:rPr>
                <w:sz w:val="19"/>
                <w:szCs w:val="19"/>
              </w:rPr>
              <w:t>Draft, redraft, keep it in your own voice</w:t>
            </w:r>
          </w:p>
        </w:tc>
        <w:tc>
          <w:tcPr>
            <w:tcW w:w="180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6F90207A" w14:textId="77777777" w:rsidR="00341F21" w:rsidRDefault="00000000">
            <w:r>
              <w:rPr>
                <w:sz w:val="19"/>
                <w:szCs w:val="19"/>
              </w:rPr>
              <w:t>☐</w:t>
            </w:r>
          </w:p>
        </w:tc>
      </w:tr>
      <w:tr w:rsidR="00341F21" w14:paraId="719076B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7A19ACDF" w14:textId="77777777" w:rsidR="00341F21" w:rsidRDefault="00000000">
            <w:r>
              <w:rPr>
                <w:sz w:val="19"/>
                <w:szCs w:val="19"/>
              </w:rPr>
              <w:t>Reference</w:t>
            </w:r>
          </w:p>
        </w:tc>
        <w:tc>
          <w:tcPr>
            <w:tcW w:w="5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4609E2A5" w14:textId="77777777" w:rsidR="00341F21" w:rsidRDefault="00000000">
            <w:r>
              <w:rPr>
                <w:sz w:val="19"/>
                <w:szCs w:val="19"/>
              </w:rPr>
              <w:t>Brief referee; confirm predicted grades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0448A28C" w14:textId="77777777" w:rsidR="00341F21" w:rsidRDefault="00000000">
            <w:r>
              <w:rPr>
                <w:sz w:val="19"/>
                <w:szCs w:val="19"/>
              </w:rPr>
              <w:t>☐</w:t>
            </w:r>
          </w:p>
        </w:tc>
      </w:tr>
      <w:tr w:rsidR="00341F21" w14:paraId="1C8EED1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4E279B4E" w14:textId="77777777" w:rsidR="00341F21" w:rsidRDefault="00000000">
            <w:r>
              <w:rPr>
                <w:sz w:val="19"/>
                <w:szCs w:val="19"/>
              </w:rPr>
              <w:t>UCAS</w:t>
            </w:r>
          </w:p>
        </w:tc>
        <w:tc>
          <w:tcPr>
            <w:tcW w:w="536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607DE22A" w14:textId="77777777" w:rsidR="00341F21" w:rsidRDefault="00000000">
            <w:r>
              <w:rPr>
                <w:sz w:val="19"/>
                <w:szCs w:val="19"/>
              </w:rPr>
              <w:t>Submit by the mid-October medicine deadline</w:t>
            </w:r>
          </w:p>
        </w:tc>
        <w:tc>
          <w:tcPr>
            <w:tcW w:w="180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585A5580" w14:textId="77777777" w:rsidR="00341F21" w:rsidRDefault="00000000">
            <w:r>
              <w:rPr>
                <w:sz w:val="19"/>
                <w:szCs w:val="19"/>
              </w:rPr>
              <w:t>☐</w:t>
            </w:r>
          </w:p>
        </w:tc>
      </w:tr>
      <w:tr w:rsidR="00341F21" w14:paraId="3AACE02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322A39D0" w14:textId="77777777" w:rsidR="00341F21" w:rsidRDefault="00000000">
            <w:r>
              <w:rPr>
                <w:sz w:val="19"/>
                <w:szCs w:val="19"/>
              </w:rPr>
              <w:t>Interview</w:t>
            </w:r>
          </w:p>
        </w:tc>
        <w:tc>
          <w:tcPr>
            <w:tcW w:w="5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18F8ABB8" w14:textId="77777777" w:rsidR="00341F21" w:rsidRDefault="00000000">
            <w:proofErr w:type="spellStart"/>
            <w:r>
              <w:rPr>
                <w:sz w:val="19"/>
                <w:szCs w:val="19"/>
              </w:rPr>
              <w:t>Practise</w:t>
            </w:r>
            <w:proofErr w:type="spellEnd"/>
            <w:r>
              <w:rPr>
                <w:sz w:val="19"/>
                <w:szCs w:val="19"/>
              </w:rPr>
              <w:t xml:space="preserve"> MMI; learn NHS basics and UK ethics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16E06C71" w14:textId="77777777" w:rsidR="00341F21" w:rsidRDefault="00000000">
            <w:r>
              <w:rPr>
                <w:sz w:val="19"/>
                <w:szCs w:val="19"/>
              </w:rPr>
              <w:t>☐</w:t>
            </w:r>
          </w:p>
        </w:tc>
      </w:tr>
      <w:tr w:rsidR="00341F21" w14:paraId="6330CE0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1520EFDF" w14:textId="77777777" w:rsidR="00341F21" w:rsidRDefault="00000000">
            <w:r>
              <w:rPr>
                <w:sz w:val="19"/>
                <w:szCs w:val="19"/>
              </w:rPr>
              <w:t>Offers</w:t>
            </w:r>
          </w:p>
        </w:tc>
        <w:tc>
          <w:tcPr>
            <w:tcW w:w="536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2B9F0977" w14:textId="77777777" w:rsidR="00341F21" w:rsidRDefault="00000000">
            <w:r>
              <w:rPr>
                <w:sz w:val="19"/>
                <w:szCs w:val="19"/>
              </w:rPr>
              <w:t>Firm + insurance; meet conditions</w:t>
            </w:r>
          </w:p>
        </w:tc>
        <w:tc>
          <w:tcPr>
            <w:tcW w:w="180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0F3AF0B3" w14:textId="77777777" w:rsidR="00341F21" w:rsidRDefault="00000000">
            <w:r>
              <w:rPr>
                <w:sz w:val="19"/>
                <w:szCs w:val="19"/>
              </w:rPr>
              <w:t>☐</w:t>
            </w:r>
          </w:p>
        </w:tc>
      </w:tr>
      <w:tr w:rsidR="00341F21" w14:paraId="7E6F5EE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625CDBED" w14:textId="77777777" w:rsidR="00341F21" w:rsidRDefault="00000000">
            <w:r>
              <w:rPr>
                <w:sz w:val="19"/>
                <w:szCs w:val="19"/>
              </w:rPr>
              <w:t>Finance</w:t>
            </w:r>
          </w:p>
        </w:tc>
        <w:tc>
          <w:tcPr>
            <w:tcW w:w="5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1F6DF6D4" w14:textId="77777777" w:rsidR="00341F21" w:rsidRDefault="00000000">
            <w:r>
              <w:rPr>
                <w:sz w:val="19"/>
                <w:szCs w:val="19"/>
              </w:rPr>
              <w:t>Evidence full funds; season the account</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58A2F3CA" w14:textId="77777777" w:rsidR="00341F21" w:rsidRDefault="00000000">
            <w:r>
              <w:rPr>
                <w:sz w:val="19"/>
                <w:szCs w:val="19"/>
              </w:rPr>
              <w:t>☐</w:t>
            </w:r>
          </w:p>
        </w:tc>
      </w:tr>
      <w:tr w:rsidR="00341F21" w14:paraId="5D75401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1197B70E" w14:textId="77777777" w:rsidR="00341F21" w:rsidRDefault="00000000">
            <w:r>
              <w:rPr>
                <w:sz w:val="19"/>
                <w:szCs w:val="19"/>
              </w:rPr>
              <w:t>Visa</w:t>
            </w:r>
          </w:p>
        </w:tc>
        <w:tc>
          <w:tcPr>
            <w:tcW w:w="536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04565B59" w14:textId="77777777" w:rsidR="00341F21" w:rsidRDefault="00000000">
            <w:r>
              <w:rPr>
                <w:sz w:val="19"/>
                <w:szCs w:val="19"/>
              </w:rPr>
              <w:t>Get CAS, pay IHS, TB test, biometrics, apply</w:t>
            </w:r>
          </w:p>
        </w:tc>
        <w:tc>
          <w:tcPr>
            <w:tcW w:w="1800" w:type="dxa"/>
            <w:tcBorders>
              <w:top w:val="single" w:sz="1" w:space="0" w:color="CCCCCC"/>
              <w:left w:val="single" w:sz="1" w:space="0" w:color="CCCCCC"/>
              <w:bottom w:val="single" w:sz="1" w:space="0" w:color="CCCCCC"/>
              <w:right w:val="single" w:sz="1" w:space="0" w:color="CCCCCC"/>
            </w:tcBorders>
            <w:shd w:val="clear" w:color="auto" w:fill="EAF0F6"/>
            <w:tcMar>
              <w:top w:w="70" w:type="dxa"/>
              <w:left w:w="120" w:type="dxa"/>
              <w:bottom w:w="70" w:type="dxa"/>
              <w:right w:w="120" w:type="dxa"/>
            </w:tcMar>
            <w:vAlign w:val="center"/>
          </w:tcPr>
          <w:p w14:paraId="7FFB0ED7" w14:textId="77777777" w:rsidR="00341F21" w:rsidRDefault="00000000">
            <w:r>
              <w:rPr>
                <w:sz w:val="19"/>
                <w:szCs w:val="19"/>
              </w:rPr>
              <w:t>☐</w:t>
            </w:r>
          </w:p>
        </w:tc>
      </w:tr>
    </w:tbl>
    <w:p w14:paraId="7627D704" w14:textId="77777777" w:rsidR="00341F21" w:rsidRDefault="00341F21">
      <w:pPr>
        <w:spacing w:after="160"/>
      </w:pPr>
    </w:p>
    <w:p w14:paraId="7170A48B" w14:textId="77777777" w:rsidR="00341F21" w:rsidRDefault="00000000">
      <w:pPr>
        <w:pStyle w:val="Heading1"/>
      </w:pPr>
      <w:bookmarkStart w:id="35" w:name="_Toc232375219"/>
      <w:r>
        <w:t>11. Official Resources</w:t>
      </w:r>
      <w:bookmarkEnd w:id="35"/>
    </w:p>
    <w:p w14:paraId="09655E83" w14:textId="77777777" w:rsidR="00341F21" w:rsidRDefault="00000000">
      <w:pPr>
        <w:spacing w:after="120" w:line="276" w:lineRule="auto"/>
      </w:pPr>
      <w:r>
        <w:t>Use primary sources — they are the only ones that are reliably current:</w:t>
      </w:r>
    </w:p>
    <w:p w14:paraId="10E77E5E" w14:textId="77777777" w:rsidR="00341F21" w:rsidRDefault="00000000">
      <w:pPr>
        <w:spacing w:after="120" w:line="276" w:lineRule="auto"/>
      </w:pPr>
      <w:r>
        <w:t xml:space="preserve">UCAT (test, format, free prep): </w:t>
      </w:r>
      <w:hyperlink r:id="rId8" w:history="1">
        <w:r>
          <w:t>ucat.ac.uk</w:t>
        </w:r>
      </w:hyperlink>
    </w:p>
    <w:p w14:paraId="1BE78729" w14:textId="77777777" w:rsidR="00341F21" w:rsidRDefault="00000000">
      <w:pPr>
        <w:spacing w:after="120" w:line="276" w:lineRule="auto"/>
      </w:pPr>
      <w:r>
        <w:t xml:space="preserve">UCAS (applications, deadlines, personal statement): </w:t>
      </w:r>
      <w:hyperlink r:id="rId9" w:history="1">
        <w:r>
          <w:t>ucas.com</w:t>
        </w:r>
      </w:hyperlink>
    </w:p>
    <w:p w14:paraId="1C38ED6A" w14:textId="77777777" w:rsidR="00341F21" w:rsidRDefault="00000000">
      <w:pPr>
        <w:spacing w:after="120" w:line="276" w:lineRule="auto"/>
      </w:pPr>
      <w:r>
        <w:t xml:space="preserve">Medical Schools Council (entry requirements comparison): </w:t>
      </w:r>
      <w:hyperlink r:id="rId10" w:history="1">
        <w:r>
          <w:t>medschools.ac.uk</w:t>
        </w:r>
      </w:hyperlink>
    </w:p>
    <w:p w14:paraId="4EF8B3DA" w14:textId="77777777" w:rsidR="00341F21" w:rsidRDefault="00000000">
      <w:pPr>
        <w:spacing w:after="120" w:line="276" w:lineRule="auto"/>
      </w:pPr>
      <w:r>
        <w:t xml:space="preserve">UK Student visa &amp; immigration: </w:t>
      </w:r>
      <w:hyperlink r:id="rId11" w:history="1">
        <w:r>
          <w:t>gov.uk/student-visa</w:t>
        </w:r>
      </w:hyperlink>
    </w:p>
    <w:p w14:paraId="3618A2D0" w14:textId="77777777" w:rsidR="00341F21" w:rsidRDefault="00000000">
      <w:pPr>
        <w:spacing w:after="120" w:line="276" w:lineRule="auto"/>
      </w:pPr>
      <w:r>
        <w:t xml:space="preserve">General Medical Council (registration to </w:t>
      </w:r>
      <w:proofErr w:type="spellStart"/>
      <w:r>
        <w:t>practise</w:t>
      </w:r>
      <w:proofErr w:type="spellEnd"/>
      <w:r>
        <w:t xml:space="preserve">): </w:t>
      </w:r>
      <w:hyperlink r:id="rId12" w:history="1">
        <w:r>
          <w:t>gmc-uk.org</w:t>
        </w:r>
      </w:hyperlink>
    </w:p>
    <w:p w14:paraId="6A2ADFA0" w14:textId="77777777" w:rsidR="00341F21" w:rsidRDefault="00000000">
      <w:pPr>
        <w:spacing w:after="120" w:line="276" w:lineRule="auto"/>
      </w:pPr>
      <w:r>
        <w:t>And, for every school on your list: that school’s own admissions and international-fees pages. When a primary source and a third-party blog disagree, the primary source wins.</w:t>
      </w:r>
    </w:p>
    <w:p w14:paraId="09D1E3B5" w14:textId="77777777" w:rsidR="00341F21" w:rsidRDefault="00341F21">
      <w:pPr>
        <w:spacing w:after="200"/>
      </w:pPr>
    </w:p>
    <w:p w14:paraId="54193D6A" w14:textId="77777777" w:rsidR="00341F21" w:rsidRDefault="00000000">
      <w:pPr>
        <w:pBdr>
          <w:top w:val="single" w:sz="12" w:space="8" w:color="C0392B"/>
        </w:pBdr>
        <w:spacing w:before="240"/>
        <w:jc w:val="center"/>
      </w:pPr>
      <w:r>
        <w:rPr>
          <w:b/>
          <w:bCs/>
          <w:color w:val="1B2A4A"/>
          <w:sz w:val="20"/>
          <w:szCs w:val="20"/>
        </w:rPr>
        <w:t>Korean UK Medical Association – Students (KUMAS)</w:t>
      </w:r>
    </w:p>
    <w:p w14:paraId="67560138" w14:textId="77777777" w:rsidR="00341F21" w:rsidRDefault="00000000">
      <w:pPr>
        <w:jc w:val="center"/>
      </w:pPr>
      <w:r>
        <w:rPr>
          <w:i/>
          <w:iCs/>
          <w:color w:val="555555"/>
          <w:sz w:val="18"/>
          <w:szCs w:val="18"/>
        </w:rPr>
        <w:t>Information guide for the 2026–27 cycle · Verify all details against official sources before acting.</w:t>
      </w:r>
    </w:p>
    <w:sectPr w:rsidR="00341F21">
      <w:headerReference w:type="default" r:id="rId13"/>
      <w:footerReference w:type="default" r:id="rId1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9AAC5" w14:textId="77777777" w:rsidR="005A073B" w:rsidRDefault="005A073B">
      <w:r>
        <w:separator/>
      </w:r>
    </w:p>
  </w:endnote>
  <w:endnote w:type="continuationSeparator" w:id="0">
    <w:p w14:paraId="360EAE06" w14:textId="77777777" w:rsidR="005A073B" w:rsidRDefault="005A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roman"/>
    <w:notTrueType/>
    <w:pitch w:val="default"/>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135D" w14:textId="77777777" w:rsidR="00341F21" w:rsidRDefault="00000000">
    <w:pPr>
      <w:pBdr>
        <w:top w:val="single" w:sz="4" w:space="4" w:color="CCCCCC"/>
      </w:pBdr>
      <w:jc w:val="center"/>
    </w:pPr>
    <w:r>
      <w:rPr>
        <w:color w:val="555555"/>
        <w:sz w:val="16"/>
        <w:szCs w:val="16"/>
      </w:rPr>
      <w:t xml:space="preserve">2026–27 </w:t>
    </w:r>
    <w:proofErr w:type="gramStart"/>
    <w:r>
      <w:rPr>
        <w:color w:val="555555"/>
        <w:sz w:val="16"/>
        <w:szCs w:val="16"/>
      </w:rPr>
      <w:t>cycle  ·</w:t>
    </w:r>
    <w:proofErr w:type="gramEnd"/>
    <w:r>
      <w:rPr>
        <w:color w:val="555555"/>
        <w:sz w:val="16"/>
        <w:szCs w:val="16"/>
      </w:rPr>
      <w:t xml:space="preserve">  Page </w:t>
    </w:r>
    <w:r>
      <w:rPr>
        <w:color w:val="555555"/>
        <w:sz w:val="16"/>
        <w:szCs w:val="16"/>
      </w:rPr>
      <w:fldChar w:fldCharType="begin"/>
    </w:r>
    <w:r>
      <w:rPr>
        <w:color w:val="555555"/>
        <w:sz w:val="16"/>
        <w:szCs w:val="16"/>
      </w:rPr>
      <w:instrText>PAGE</w:instrText>
    </w:r>
    <w:r>
      <w:rPr>
        <w:color w:val="555555"/>
        <w:sz w:val="16"/>
        <w:szCs w:val="16"/>
      </w:rPr>
      <w:fldChar w:fldCharType="separate"/>
    </w:r>
    <w:r w:rsidR="002B2A64">
      <w:rPr>
        <w:noProof/>
        <w:color w:val="555555"/>
        <w:sz w:val="16"/>
        <w:szCs w:val="16"/>
      </w:rPr>
      <w:t>1</w:t>
    </w:r>
    <w:r>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6898D" w14:textId="77777777" w:rsidR="005A073B" w:rsidRDefault="005A073B">
      <w:r>
        <w:separator/>
      </w:r>
    </w:p>
  </w:footnote>
  <w:footnote w:type="continuationSeparator" w:id="0">
    <w:p w14:paraId="6A9BFFA5" w14:textId="77777777" w:rsidR="005A073B" w:rsidRDefault="005A0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DA6C" w14:textId="1D2AFCA9" w:rsidR="00341F21" w:rsidRDefault="003E1147">
    <w:pPr>
      <w:pBdr>
        <w:bottom w:val="single" w:sz="4" w:space="4" w:color="CCCCCC"/>
      </w:pBdr>
      <w:jc w:val="right"/>
    </w:pPr>
    <w:r>
      <w:rPr>
        <w:noProof/>
        <w:color w:val="555555"/>
        <w:sz w:val="16"/>
        <w:szCs w:val="16"/>
      </w:rPr>
      <w:drawing>
        <wp:anchor distT="0" distB="0" distL="114300" distR="114300" simplePos="0" relativeHeight="251658240" behindDoc="0" locked="0" layoutInCell="1" allowOverlap="1" wp14:anchorId="319F5F87" wp14:editId="6D4314F0">
          <wp:simplePos x="0" y="0"/>
          <wp:positionH relativeFrom="column">
            <wp:posOffset>-813816</wp:posOffset>
          </wp:positionH>
          <wp:positionV relativeFrom="paragraph">
            <wp:posOffset>-366776</wp:posOffset>
          </wp:positionV>
          <wp:extent cx="1224915" cy="492125"/>
          <wp:effectExtent l="0" t="0" r="0" b="3175"/>
          <wp:wrapNone/>
          <wp:docPr id="1189684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84103" name="Picture 1189684103"/>
                  <pic:cNvPicPr/>
                </pic:nvPicPr>
                <pic:blipFill>
                  <a:blip r:embed="rId1">
                    <a:extLst>
                      <a:ext uri="{28A0092B-C50C-407E-A947-70E740481C1C}">
                        <a14:useLocalDpi xmlns:a14="http://schemas.microsoft.com/office/drawing/2010/main" val="0"/>
                      </a:ext>
                    </a:extLst>
                  </a:blip>
                  <a:stretch>
                    <a:fillRect/>
                  </a:stretch>
                </pic:blipFill>
                <pic:spPr>
                  <a:xfrm>
                    <a:off x="0" y="0"/>
                    <a:ext cx="1224915" cy="492125"/>
                  </a:xfrm>
                  <a:prstGeom prst="rect">
                    <a:avLst/>
                  </a:prstGeom>
                </pic:spPr>
              </pic:pic>
            </a:graphicData>
          </a:graphic>
        </wp:anchor>
      </w:drawing>
    </w:r>
    <w:r w:rsidR="00000000">
      <w:rPr>
        <w:color w:val="555555"/>
        <w:sz w:val="16"/>
        <w:szCs w:val="16"/>
      </w:rPr>
      <w:t>KUMAS · UK Medical School Admissions Guide for International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6312"/>
    <w:multiLevelType w:val="hybridMultilevel"/>
    <w:tmpl w:val="0FD817BA"/>
    <w:lvl w:ilvl="0" w:tplc="7BA612B4">
      <w:start w:val="1"/>
      <w:numFmt w:val="decimal"/>
      <w:lvlText w:val="%1."/>
      <w:lvlJc w:val="left"/>
      <w:pPr>
        <w:ind w:left="540" w:hanging="280"/>
      </w:pPr>
    </w:lvl>
    <w:lvl w:ilvl="1" w:tplc="DDF81FB0">
      <w:numFmt w:val="decimal"/>
      <w:lvlText w:val=""/>
      <w:lvlJc w:val="left"/>
    </w:lvl>
    <w:lvl w:ilvl="2" w:tplc="0AEA2808">
      <w:numFmt w:val="decimal"/>
      <w:lvlText w:val=""/>
      <w:lvlJc w:val="left"/>
    </w:lvl>
    <w:lvl w:ilvl="3" w:tplc="1304CE10">
      <w:numFmt w:val="decimal"/>
      <w:lvlText w:val=""/>
      <w:lvlJc w:val="left"/>
    </w:lvl>
    <w:lvl w:ilvl="4" w:tplc="EAD6CFEA">
      <w:numFmt w:val="decimal"/>
      <w:lvlText w:val=""/>
      <w:lvlJc w:val="left"/>
    </w:lvl>
    <w:lvl w:ilvl="5" w:tplc="D1AAE6B4">
      <w:numFmt w:val="decimal"/>
      <w:lvlText w:val=""/>
      <w:lvlJc w:val="left"/>
    </w:lvl>
    <w:lvl w:ilvl="6" w:tplc="08120688">
      <w:numFmt w:val="decimal"/>
      <w:lvlText w:val=""/>
      <w:lvlJc w:val="left"/>
    </w:lvl>
    <w:lvl w:ilvl="7" w:tplc="C94E40B8">
      <w:numFmt w:val="decimal"/>
      <w:lvlText w:val=""/>
      <w:lvlJc w:val="left"/>
    </w:lvl>
    <w:lvl w:ilvl="8" w:tplc="548E646A">
      <w:numFmt w:val="decimal"/>
      <w:lvlText w:val=""/>
      <w:lvlJc w:val="left"/>
    </w:lvl>
  </w:abstractNum>
  <w:abstractNum w:abstractNumId="1" w15:restartNumberingAfterBreak="0">
    <w:nsid w:val="0E447038"/>
    <w:multiLevelType w:val="hybridMultilevel"/>
    <w:tmpl w:val="D6B0B7B0"/>
    <w:lvl w:ilvl="0" w:tplc="79CC1838">
      <w:start w:val="1"/>
      <w:numFmt w:val="bullet"/>
      <w:lvlText w:val="●"/>
      <w:lvlJc w:val="left"/>
      <w:pPr>
        <w:ind w:left="720" w:hanging="360"/>
      </w:pPr>
    </w:lvl>
    <w:lvl w:ilvl="1" w:tplc="615A523A">
      <w:start w:val="1"/>
      <w:numFmt w:val="bullet"/>
      <w:lvlText w:val="○"/>
      <w:lvlJc w:val="left"/>
      <w:pPr>
        <w:ind w:left="1440" w:hanging="360"/>
      </w:pPr>
    </w:lvl>
    <w:lvl w:ilvl="2" w:tplc="D3A84EF4">
      <w:start w:val="1"/>
      <w:numFmt w:val="bullet"/>
      <w:lvlText w:val="■"/>
      <w:lvlJc w:val="left"/>
      <w:pPr>
        <w:ind w:left="2160" w:hanging="360"/>
      </w:pPr>
    </w:lvl>
    <w:lvl w:ilvl="3" w:tplc="44BC6698">
      <w:start w:val="1"/>
      <w:numFmt w:val="bullet"/>
      <w:lvlText w:val="●"/>
      <w:lvlJc w:val="left"/>
      <w:pPr>
        <w:ind w:left="2880" w:hanging="360"/>
      </w:pPr>
    </w:lvl>
    <w:lvl w:ilvl="4" w:tplc="668439A8">
      <w:start w:val="1"/>
      <w:numFmt w:val="bullet"/>
      <w:lvlText w:val="○"/>
      <w:lvlJc w:val="left"/>
      <w:pPr>
        <w:ind w:left="3600" w:hanging="360"/>
      </w:pPr>
    </w:lvl>
    <w:lvl w:ilvl="5" w:tplc="41D63E38">
      <w:start w:val="1"/>
      <w:numFmt w:val="bullet"/>
      <w:lvlText w:val="■"/>
      <w:lvlJc w:val="left"/>
      <w:pPr>
        <w:ind w:left="4320" w:hanging="360"/>
      </w:pPr>
    </w:lvl>
    <w:lvl w:ilvl="6" w:tplc="45FA1E5C">
      <w:start w:val="1"/>
      <w:numFmt w:val="bullet"/>
      <w:lvlText w:val="●"/>
      <w:lvlJc w:val="left"/>
      <w:pPr>
        <w:ind w:left="5040" w:hanging="360"/>
      </w:pPr>
    </w:lvl>
    <w:lvl w:ilvl="7" w:tplc="1FFA0216">
      <w:start w:val="1"/>
      <w:numFmt w:val="bullet"/>
      <w:lvlText w:val="●"/>
      <w:lvlJc w:val="left"/>
      <w:pPr>
        <w:ind w:left="5760" w:hanging="360"/>
      </w:pPr>
    </w:lvl>
    <w:lvl w:ilvl="8" w:tplc="407C5406">
      <w:start w:val="1"/>
      <w:numFmt w:val="bullet"/>
      <w:lvlText w:val="●"/>
      <w:lvlJc w:val="left"/>
      <w:pPr>
        <w:ind w:left="6480" w:hanging="360"/>
      </w:pPr>
    </w:lvl>
  </w:abstractNum>
  <w:abstractNum w:abstractNumId="2" w15:restartNumberingAfterBreak="0">
    <w:nsid w:val="10262359"/>
    <w:multiLevelType w:val="hybridMultilevel"/>
    <w:tmpl w:val="73341D10"/>
    <w:lvl w:ilvl="0" w:tplc="4C2CB628">
      <w:start w:val="1"/>
      <w:numFmt w:val="bullet"/>
      <w:lvlText w:val="•"/>
      <w:lvlJc w:val="left"/>
      <w:pPr>
        <w:ind w:left="540" w:hanging="280"/>
      </w:pPr>
    </w:lvl>
    <w:lvl w:ilvl="1" w:tplc="C7A0E1FE">
      <w:start w:val="1"/>
      <w:numFmt w:val="bullet"/>
      <w:lvlText w:val="◦"/>
      <w:lvlJc w:val="left"/>
      <w:pPr>
        <w:ind w:left="1080" w:hanging="280"/>
      </w:pPr>
    </w:lvl>
    <w:lvl w:ilvl="2" w:tplc="51B647D2">
      <w:numFmt w:val="decimal"/>
      <w:lvlText w:val=""/>
      <w:lvlJc w:val="left"/>
    </w:lvl>
    <w:lvl w:ilvl="3" w:tplc="D3E8013A">
      <w:numFmt w:val="decimal"/>
      <w:lvlText w:val=""/>
      <w:lvlJc w:val="left"/>
    </w:lvl>
    <w:lvl w:ilvl="4" w:tplc="66B2301A">
      <w:numFmt w:val="decimal"/>
      <w:lvlText w:val=""/>
      <w:lvlJc w:val="left"/>
    </w:lvl>
    <w:lvl w:ilvl="5" w:tplc="E2FA2A6A">
      <w:numFmt w:val="decimal"/>
      <w:lvlText w:val=""/>
      <w:lvlJc w:val="left"/>
    </w:lvl>
    <w:lvl w:ilvl="6" w:tplc="A360421E">
      <w:numFmt w:val="decimal"/>
      <w:lvlText w:val=""/>
      <w:lvlJc w:val="left"/>
    </w:lvl>
    <w:lvl w:ilvl="7" w:tplc="054A44BC">
      <w:numFmt w:val="decimal"/>
      <w:lvlText w:val=""/>
      <w:lvlJc w:val="left"/>
    </w:lvl>
    <w:lvl w:ilvl="8" w:tplc="595C7E50">
      <w:numFmt w:val="decimal"/>
      <w:lvlText w:val=""/>
      <w:lvlJc w:val="left"/>
    </w:lvl>
  </w:abstractNum>
  <w:abstractNum w:abstractNumId="3" w15:restartNumberingAfterBreak="0">
    <w:nsid w:val="1231198C"/>
    <w:multiLevelType w:val="hybridMultilevel"/>
    <w:tmpl w:val="9184ECE6"/>
    <w:lvl w:ilvl="0" w:tplc="C3E6EF9C">
      <w:start w:val="1"/>
      <w:numFmt w:val="decimal"/>
      <w:lvlText w:val="%1."/>
      <w:lvlJc w:val="left"/>
      <w:pPr>
        <w:ind w:left="540" w:hanging="280"/>
      </w:pPr>
    </w:lvl>
    <w:lvl w:ilvl="1" w:tplc="D21896A4">
      <w:numFmt w:val="decimal"/>
      <w:lvlText w:val=""/>
      <w:lvlJc w:val="left"/>
    </w:lvl>
    <w:lvl w:ilvl="2" w:tplc="B64C021E">
      <w:numFmt w:val="decimal"/>
      <w:lvlText w:val=""/>
      <w:lvlJc w:val="left"/>
    </w:lvl>
    <w:lvl w:ilvl="3" w:tplc="7E10935C">
      <w:numFmt w:val="decimal"/>
      <w:lvlText w:val=""/>
      <w:lvlJc w:val="left"/>
    </w:lvl>
    <w:lvl w:ilvl="4" w:tplc="BF3E4A3A">
      <w:numFmt w:val="decimal"/>
      <w:lvlText w:val=""/>
      <w:lvlJc w:val="left"/>
    </w:lvl>
    <w:lvl w:ilvl="5" w:tplc="0E5E706C">
      <w:numFmt w:val="decimal"/>
      <w:lvlText w:val=""/>
      <w:lvlJc w:val="left"/>
    </w:lvl>
    <w:lvl w:ilvl="6" w:tplc="5AA6ECB2">
      <w:numFmt w:val="decimal"/>
      <w:lvlText w:val=""/>
      <w:lvlJc w:val="left"/>
    </w:lvl>
    <w:lvl w:ilvl="7" w:tplc="FFE21B4E">
      <w:numFmt w:val="decimal"/>
      <w:lvlText w:val=""/>
      <w:lvlJc w:val="left"/>
    </w:lvl>
    <w:lvl w:ilvl="8" w:tplc="F000F560">
      <w:numFmt w:val="decimal"/>
      <w:lvlText w:val=""/>
      <w:lvlJc w:val="left"/>
    </w:lvl>
  </w:abstractNum>
  <w:abstractNum w:abstractNumId="4" w15:restartNumberingAfterBreak="0">
    <w:nsid w:val="1B251800"/>
    <w:multiLevelType w:val="hybridMultilevel"/>
    <w:tmpl w:val="D46609B2"/>
    <w:lvl w:ilvl="0" w:tplc="2E8624E0">
      <w:start w:val="1"/>
      <w:numFmt w:val="decimal"/>
      <w:lvlText w:val="%1."/>
      <w:lvlJc w:val="left"/>
      <w:pPr>
        <w:ind w:left="540" w:hanging="280"/>
      </w:pPr>
    </w:lvl>
    <w:lvl w:ilvl="1" w:tplc="F3A2180A">
      <w:numFmt w:val="decimal"/>
      <w:lvlText w:val=""/>
      <w:lvlJc w:val="left"/>
    </w:lvl>
    <w:lvl w:ilvl="2" w:tplc="7C986A70">
      <w:numFmt w:val="decimal"/>
      <w:lvlText w:val=""/>
      <w:lvlJc w:val="left"/>
    </w:lvl>
    <w:lvl w:ilvl="3" w:tplc="ADAAF2C2">
      <w:numFmt w:val="decimal"/>
      <w:lvlText w:val=""/>
      <w:lvlJc w:val="left"/>
    </w:lvl>
    <w:lvl w:ilvl="4" w:tplc="C188F9F8">
      <w:numFmt w:val="decimal"/>
      <w:lvlText w:val=""/>
      <w:lvlJc w:val="left"/>
    </w:lvl>
    <w:lvl w:ilvl="5" w:tplc="38069FA4">
      <w:numFmt w:val="decimal"/>
      <w:lvlText w:val=""/>
      <w:lvlJc w:val="left"/>
    </w:lvl>
    <w:lvl w:ilvl="6" w:tplc="F9BC54DE">
      <w:numFmt w:val="decimal"/>
      <w:lvlText w:val=""/>
      <w:lvlJc w:val="left"/>
    </w:lvl>
    <w:lvl w:ilvl="7" w:tplc="4B36D264">
      <w:numFmt w:val="decimal"/>
      <w:lvlText w:val=""/>
      <w:lvlJc w:val="left"/>
    </w:lvl>
    <w:lvl w:ilvl="8" w:tplc="01186B48">
      <w:numFmt w:val="decimal"/>
      <w:lvlText w:val=""/>
      <w:lvlJc w:val="left"/>
    </w:lvl>
  </w:abstractNum>
  <w:abstractNum w:abstractNumId="5" w15:restartNumberingAfterBreak="0">
    <w:nsid w:val="45592F3F"/>
    <w:multiLevelType w:val="hybridMultilevel"/>
    <w:tmpl w:val="5FFA4FB8"/>
    <w:lvl w:ilvl="0" w:tplc="AFF4A7C0">
      <w:start w:val="1"/>
      <w:numFmt w:val="decimal"/>
      <w:lvlText w:val="%1."/>
      <w:lvlJc w:val="left"/>
      <w:pPr>
        <w:ind w:left="540" w:hanging="280"/>
      </w:pPr>
    </w:lvl>
    <w:lvl w:ilvl="1" w:tplc="12CEB1D0">
      <w:numFmt w:val="decimal"/>
      <w:lvlText w:val=""/>
      <w:lvlJc w:val="left"/>
    </w:lvl>
    <w:lvl w:ilvl="2" w:tplc="2C16B0DA">
      <w:numFmt w:val="decimal"/>
      <w:lvlText w:val=""/>
      <w:lvlJc w:val="left"/>
    </w:lvl>
    <w:lvl w:ilvl="3" w:tplc="3842C8C4">
      <w:numFmt w:val="decimal"/>
      <w:lvlText w:val=""/>
      <w:lvlJc w:val="left"/>
    </w:lvl>
    <w:lvl w:ilvl="4" w:tplc="B1F2FE3C">
      <w:numFmt w:val="decimal"/>
      <w:lvlText w:val=""/>
      <w:lvlJc w:val="left"/>
    </w:lvl>
    <w:lvl w:ilvl="5" w:tplc="00F62F72">
      <w:numFmt w:val="decimal"/>
      <w:lvlText w:val=""/>
      <w:lvlJc w:val="left"/>
    </w:lvl>
    <w:lvl w:ilvl="6" w:tplc="6FE8A816">
      <w:numFmt w:val="decimal"/>
      <w:lvlText w:val=""/>
      <w:lvlJc w:val="left"/>
    </w:lvl>
    <w:lvl w:ilvl="7" w:tplc="D130A2D4">
      <w:numFmt w:val="decimal"/>
      <w:lvlText w:val=""/>
      <w:lvlJc w:val="left"/>
    </w:lvl>
    <w:lvl w:ilvl="8" w:tplc="1BA4C4F6">
      <w:numFmt w:val="decimal"/>
      <w:lvlText w:val=""/>
      <w:lvlJc w:val="left"/>
    </w:lvl>
  </w:abstractNum>
  <w:abstractNum w:abstractNumId="6" w15:restartNumberingAfterBreak="0">
    <w:nsid w:val="463F2F14"/>
    <w:multiLevelType w:val="hybridMultilevel"/>
    <w:tmpl w:val="A5706212"/>
    <w:lvl w:ilvl="0" w:tplc="E370DB7E">
      <w:start w:val="1"/>
      <w:numFmt w:val="decimal"/>
      <w:lvlText w:val="%1."/>
      <w:lvlJc w:val="left"/>
      <w:pPr>
        <w:ind w:left="540" w:hanging="280"/>
      </w:pPr>
    </w:lvl>
    <w:lvl w:ilvl="1" w:tplc="2300052E">
      <w:numFmt w:val="decimal"/>
      <w:lvlText w:val=""/>
      <w:lvlJc w:val="left"/>
    </w:lvl>
    <w:lvl w:ilvl="2" w:tplc="0EF0810C">
      <w:numFmt w:val="decimal"/>
      <w:lvlText w:val=""/>
      <w:lvlJc w:val="left"/>
    </w:lvl>
    <w:lvl w:ilvl="3" w:tplc="412A58CC">
      <w:numFmt w:val="decimal"/>
      <w:lvlText w:val=""/>
      <w:lvlJc w:val="left"/>
    </w:lvl>
    <w:lvl w:ilvl="4" w:tplc="17C42F76">
      <w:numFmt w:val="decimal"/>
      <w:lvlText w:val=""/>
      <w:lvlJc w:val="left"/>
    </w:lvl>
    <w:lvl w:ilvl="5" w:tplc="2EA2713E">
      <w:numFmt w:val="decimal"/>
      <w:lvlText w:val=""/>
      <w:lvlJc w:val="left"/>
    </w:lvl>
    <w:lvl w:ilvl="6" w:tplc="D46025F6">
      <w:numFmt w:val="decimal"/>
      <w:lvlText w:val=""/>
      <w:lvlJc w:val="left"/>
    </w:lvl>
    <w:lvl w:ilvl="7" w:tplc="9156F418">
      <w:numFmt w:val="decimal"/>
      <w:lvlText w:val=""/>
      <w:lvlJc w:val="left"/>
    </w:lvl>
    <w:lvl w:ilvl="8" w:tplc="023ACDEA">
      <w:numFmt w:val="decimal"/>
      <w:lvlText w:val=""/>
      <w:lvlJc w:val="left"/>
    </w:lvl>
  </w:abstractNum>
  <w:abstractNum w:abstractNumId="7" w15:restartNumberingAfterBreak="0">
    <w:nsid w:val="4EC653D7"/>
    <w:multiLevelType w:val="hybridMultilevel"/>
    <w:tmpl w:val="4500A0D0"/>
    <w:lvl w:ilvl="0" w:tplc="EC4CD134">
      <w:start w:val="1"/>
      <w:numFmt w:val="decimal"/>
      <w:lvlText w:val="%1."/>
      <w:lvlJc w:val="left"/>
      <w:pPr>
        <w:ind w:left="540" w:hanging="280"/>
      </w:pPr>
    </w:lvl>
    <w:lvl w:ilvl="1" w:tplc="5588D68E">
      <w:numFmt w:val="decimal"/>
      <w:lvlText w:val=""/>
      <w:lvlJc w:val="left"/>
    </w:lvl>
    <w:lvl w:ilvl="2" w:tplc="927888B6">
      <w:numFmt w:val="decimal"/>
      <w:lvlText w:val=""/>
      <w:lvlJc w:val="left"/>
    </w:lvl>
    <w:lvl w:ilvl="3" w:tplc="592E9F5E">
      <w:numFmt w:val="decimal"/>
      <w:lvlText w:val=""/>
      <w:lvlJc w:val="left"/>
    </w:lvl>
    <w:lvl w:ilvl="4" w:tplc="4C06D410">
      <w:numFmt w:val="decimal"/>
      <w:lvlText w:val=""/>
      <w:lvlJc w:val="left"/>
    </w:lvl>
    <w:lvl w:ilvl="5" w:tplc="071E7202">
      <w:numFmt w:val="decimal"/>
      <w:lvlText w:val=""/>
      <w:lvlJc w:val="left"/>
    </w:lvl>
    <w:lvl w:ilvl="6" w:tplc="23A86968">
      <w:numFmt w:val="decimal"/>
      <w:lvlText w:val=""/>
      <w:lvlJc w:val="left"/>
    </w:lvl>
    <w:lvl w:ilvl="7" w:tplc="4A98FF8E">
      <w:numFmt w:val="decimal"/>
      <w:lvlText w:val=""/>
      <w:lvlJc w:val="left"/>
    </w:lvl>
    <w:lvl w:ilvl="8" w:tplc="8CBC893C">
      <w:numFmt w:val="decimal"/>
      <w:lvlText w:val=""/>
      <w:lvlJc w:val="left"/>
    </w:lvl>
  </w:abstractNum>
  <w:abstractNum w:abstractNumId="8" w15:restartNumberingAfterBreak="0">
    <w:nsid w:val="4FF66962"/>
    <w:multiLevelType w:val="hybridMultilevel"/>
    <w:tmpl w:val="67AA6440"/>
    <w:lvl w:ilvl="0" w:tplc="4314B11E">
      <w:start w:val="1"/>
      <w:numFmt w:val="decimal"/>
      <w:lvlText w:val="%1."/>
      <w:lvlJc w:val="left"/>
      <w:pPr>
        <w:ind w:left="540" w:hanging="280"/>
      </w:pPr>
    </w:lvl>
    <w:lvl w:ilvl="1" w:tplc="6E807E48">
      <w:numFmt w:val="decimal"/>
      <w:lvlText w:val=""/>
      <w:lvlJc w:val="left"/>
    </w:lvl>
    <w:lvl w:ilvl="2" w:tplc="FAF8C65C">
      <w:numFmt w:val="decimal"/>
      <w:lvlText w:val=""/>
      <w:lvlJc w:val="left"/>
    </w:lvl>
    <w:lvl w:ilvl="3" w:tplc="4C9A2716">
      <w:numFmt w:val="decimal"/>
      <w:lvlText w:val=""/>
      <w:lvlJc w:val="left"/>
    </w:lvl>
    <w:lvl w:ilvl="4" w:tplc="E9723ADE">
      <w:numFmt w:val="decimal"/>
      <w:lvlText w:val=""/>
      <w:lvlJc w:val="left"/>
    </w:lvl>
    <w:lvl w:ilvl="5" w:tplc="A9A0E512">
      <w:numFmt w:val="decimal"/>
      <w:lvlText w:val=""/>
      <w:lvlJc w:val="left"/>
    </w:lvl>
    <w:lvl w:ilvl="6" w:tplc="6944ED92">
      <w:numFmt w:val="decimal"/>
      <w:lvlText w:val=""/>
      <w:lvlJc w:val="left"/>
    </w:lvl>
    <w:lvl w:ilvl="7" w:tplc="955EB872">
      <w:numFmt w:val="decimal"/>
      <w:lvlText w:val=""/>
      <w:lvlJc w:val="left"/>
    </w:lvl>
    <w:lvl w:ilvl="8" w:tplc="9C56FA46">
      <w:numFmt w:val="decimal"/>
      <w:lvlText w:val=""/>
      <w:lvlJc w:val="left"/>
    </w:lvl>
  </w:abstractNum>
  <w:abstractNum w:abstractNumId="9" w15:restartNumberingAfterBreak="0">
    <w:nsid w:val="6DC14D3B"/>
    <w:multiLevelType w:val="hybridMultilevel"/>
    <w:tmpl w:val="09DCB8DA"/>
    <w:lvl w:ilvl="0" w:tplc="3886FD46">
      <w:start w:val="1"/>
      <w:numFmt w:val="decimal"/>
      <w:lvlText w:val="%1."/>
      <w:lvlJc w:val="left"/>
      <w:pPr>
        <w:ind w:left="540" w:hanging="280"/>
      </w:pPr>
    </w:lvl>
    <w:lvl w:ilvl="1" w:tplc="FBEAE09C">
      <w:numFmt w:val="decimal"/>
      <w:lvlText w:val=""/>
      <w:lvlJc w:val="left"/>
    </w:lvl>
    <w:lvl w:ilvl="2" w:tplc="8022F530">
      <w:numFmt w:val="decimal"/>
      <w:lvlText w:val=""/>
      <w:lvlJc w:val="left"/>
    </w:lvl>
    <w:lvl w:ilvl="3" w:tplc="DED64B32">
      <w:numFmt w:val="decimal"/>
      <w:lvlText w:val=""/>
      <w:lvlJc w:val="left"/>
    </w:lvl>
    <w:lvl w:ilvl="4" w:tplc="35C2BF38">
      <w:numFmt w:val="decimal"/>
      <w:lvlText w:val=""/>
      <w:lvlJc w:val="left"/>
    </w:lvl>
    <w:lvl w:ilvl="5" w:tplc="6D7233E0">
      <w:numFmt w:val="decimal"/>
      <w:lvlText w:val=""/>
      <w:lvlJc w:val="left"/>
    </w:lvl>
    <w:lvl w:ilvl="6" w:tplc="84D8DD4A">
      <w:numFmt w:val="decimal"/>
      <w:lvlText w:val=""/>
      <w:lvlJc w:val="left"/>
    </w:lvl>
    <w:lvl w:ilvl="7" w:tplc="E320DD2A">
      <w:numFmt w:val="decimal"/>
      <w:lvlText w:val=""/>
      <w:lvlJc w:val="left"/>
    </w:lvl>
    <w:lvl w:ilvl="8" w:tplc="20BC50FA">
      <w:numFmt w:val="decimal"/>
      <w:lvlText w:val=""/>
      <w:lvlJc w:val="left"/>
    </w:lvl>
  </w:abstractNum>
  <w:abstractNum w:abstractNumId="10" w15:restartNumberingAfterBreak="0">
    <w:nsid w:val="6FF96331"/>
    <w:multiLevelType w:val="hybridMultilevel"/>
    <w:tmpl w:val="3766D426"/>
    <w:lvl w:ilvl="0" w:tplc="31E214E2">
      <w:start w:val="1"/>
      <w:numFmt w:val="decimal"/>
      <w:lvlText w:val="%1."/>
      <w:lvlJc w:val="left"/>
      <w:pPr>
        <w:ind w:left="540" w:hanging="280"/>
      </w:pPr>
    </w:lvl>
    <w:lvl w:ilvl="1" w:tplc="6854DAE2">
      <w:numFmt w:val="decimal"/>
      <w:lvlText w:val=""/>
      <w:lvlJc w:val="left"/>
    </w:lvl>
    <w:lvl w:ilvl="2" w:tplc="D26AE776">
      <w:numFmt w:val="decimal"/>
      <w:lvlText w:val=""/>
      <w:lvlJc w:val="left"/>
    </w:lvl>
    <w:lvl w:ilvl="3" w:tplc="2B00FC94">
      <w:numFmt w:val="decimal"/>
      <w:lvlText w:val=""/>
      <w:lvlJc w:val="left"/>
    </w:lvl>
    <w:lvl w:ilvl="4" w:tplc="66F40CB6">
      <w:numFmt w:val="decimal"/>
      <w:lvlText w:val=""/>
      <w:lvlJc w:val="left"/>
    </w:lvl>
    <w:lvl w:ilvl="5" w:tplc="1BE48140">
      <w:numFmt w:val="decimal"/>
      <w:lvlText w:val=""/>
      <w:lvlJc w:val="left"/>
    </w:lvl>
    <w:lvl w:ilvl="6" w:tplc="EA901BAC">
      <w:numFmt w:val="decimal"/>
      <w:lvlText w:val=""/>
      <w:lvlJc w:val="left"/>
    </w:lvl>
    <w:lvl w:ilvl="7" w:tplc="DEB69240">
      <w:numFmt w:val="decimal"/>
      <w:lvlText w:val=""/>
      <w:lvlJc w:val="left"/>
    </w:lvl>
    <w:lvl w:ilvl="8" w:tplc="19067D0C">
      <w:numFmt w:val="decimal"/>
      <w:lvlText w:val=""/>
      <w:lvlJc w:val="left"/>
    </w:lvl>
  </w:abstractNum>
  <w:abstractNum w:abstractNumId="11" w15:restartNumberingAfterBreak="0">
    <w:nsid w:val="706F2B76"/>
    <w:multiLevelType w:val="hybridMultilevel"/>
    <w:tmpl w:val="F92483F8"/>
    <w:lvl w:ilvl="0" w:tplc="32B266BC">
      <w:start w:val="1"/>
      <w:numFmt w:val="decimal"/>
      <w:lvlText w:val="%1."/>
      <w:lvlJc w:val="left"/>
      <w:pPr>
        <w:ind w:left="540" w:hanging="280"/>
      </w:pPr>
    </w:lvl>
    <w:lvl w:ilvl="1" w:tplc="8FBEEC96">
      <w:numFmt w:val="decimal"/>
      <w:lvlText w:val=""/>
      <w:lvlJc w:val="left"/>
    </w:lvl>
    <w:lvl w:ilvl="2" w:tplc="B8E47714">
      <w:numFmt w:val="decimal"/>
      <w:lvlText w:val=""/>
      <w:lvlJc w:val="left"/>
    </w:lvl>
    <w:lvl w:ilvl="3" w:tplc="A1D4D4BE">
      <w:numFmt w:val="decimal"/>
      <w:lvlText w:val=""/>
      <w:lvlJc w:val="left"/>
    </w:lvl>
    <w:lvl w:ilvl="4" w:tplc="F676B204">
      <w:numFmt w:val="decimal"/>
      <w:lvlText w:val=""/>
      <w:lvlJc w:val="left"/>
    </w:lvl>
    <w:lvl w:ilvl="5" w:tplc="D0B64DD0">
      <w:numFmt w:val="decimal"/>
      <w:lvlText w:val=""/>
      <w:lvlJc w:val="left"/>
    </w:lvl>
    <w:lvl w:ilvl="6" w:tplc="A246E74C">
      <w:numFmt w:val="decimal"/>
      <w:lvlText w:val=""/>
      <w:lvlJc w:val="left"/>
    </w:lvl>
    <w:lvl w:ilvl="7" w:tplc="14324AA6">
      <w:numFmt w:val="decimal"/>
      <w:lvlText w:val=""/>
      <w:lvlJc w:val="left"/>
    </w:lvl>
    <w:lvl w:ilvl="8" w:tplc="28BAE31C">
      <w:numFmt w:val="decimal"/>
      <w:lvlText w:val=""/>
      <w:lvlJc w:val="left"/>
    </w:lvl>
  </w:abstractNum>
  <w:abstractNum w:abstractNumId="12" w15:restartNumberingAfterBreak="0">
    <w:nsid w:val="738A5869"/>
    <w:multiLevelType w:val="hybridMultilevel"/>
    <w:tmpl w:val="E7DEB6D2"/>
    <w:lvl w:ilvl="0" w:tplc="1D2EF1D4">
      <w:start w:val="1"/>
      <w:numFmt w:val="decimal"/>
      <w:lvlText w:val="%1."/>
      <w:lvlJc w:val="left"/>
      <w:pPr>
        <w:ind w:left="540" w:hanging="280"/>
      </w:pPr>
    </w:lvl>
    <w:lvl w:ilvl="1" w:tplc="EEEEADB0">
      <w:numFmt w:val="decimal"/>
      <w:lvlText w:val=""/>
      <w:lvlJc w:val="left"/>
    </w:lvl>
    <w:lvl w:ilvl="2" w:tplc="D3225A14">
      <w:numFmt w:val="decimal"/>
      <w:lvlText w:val=""/>
      <w:lvlJc w:val="left"/>
    </w:lvl>
    <w:lvl w:ilvl="3" w:tplc="19043534">
      <w:numFmt w:val="decimal"/>
      <w:lvlText w:val=""/>
      <w:lvlJc w:val="left"/>
    </w:lvl>
    <w:lvl w:ilvl="4" w:tplc="6FE41442">
      <w:numFmt w:val="decimal"/>
      <w:lvlText w:val=""/>
      <w:lvlJc w:val="left"/>
    </w:lvl>
    <w:lvl w:ilvl="5" w:tplc="8264C48C">
      <w:numFmt w:val="decimal"/>
      <w:lvlText w:val=""/>
      <w:lvlJc w:val="left"/>
    </w:lvl>
    <w:lvl w:ilvl="6" w:tplc="C158024C">
      <w:numFmt w:val="decimal"/>
      <w:lvlText w:val=""/>
      <w:lvlJc w:val="left"/>
    </w:lvl>
    <w:lvl w:ilvl="7" w:tplc="8236DCB8">
      <w:numFmt w:val="decimal"/>
      <w:lvlText w:val=""/>
      <w:lvlJc w:val="left"/>
    </w:lvl>
    <w:lvl w:ilvl="8" w:tplc="078A7690">
      <w:numFmt w:val="decimal"/>
      <w:lvlText w:val=""/>
      <w:lvlJc w:val="left"/>
    </w:lvl>
  </w:abstractNum>
  <w:abstractNum w:abstractNumId="13" w15:restartNumberingAfterBreak="0">
    <w:nsid w:val="783E414A"/>
    <w:multiLevelType w:val="hybridMultilevel"/>
    <w:tmpl w:val="F1084B6E"/>
    <w:lvl w:ilvl="0" w:tplc="1534C010">
      <w:start w:val="1"/>
      <w:numFmt w:val="decimal"/>
      <w:lvlText w:val="%1."/>
      <w:lvlJc w:val="left"/>
      <w:pPr>
        <w:ind w:left="540" w:hanging="280"/>
      </w:pPr>
    </w:lvl>
    <w:lvl w:ilvl="1" w:tplc="BA6C6ADA">
      <w:numFmt w:val="decimal"/>
      <w:lvlText w:val=""/>
      <w:lvlJc w:val="left"/>
    </w:lvl>
    <w:lvl w:ilvl="2" w:tplc="BB6EFC3A">
      <w:numFmt w:val="decimal"/>
      <w:lvlText w:val=""/>
      <w:lvlJc w:val="left"/>
    </w:lvl>
    <w:lvl w:ilvl="3" w:tplc="01C6702C">
      <w:numFmt w:val="decimal"/>
      <w:lvlText w:val=""/>
      <w:lvlJc w:val="left"/>
    </w:lvl>
    <w:lvl w:ilvl="4" w:tplc="C44ACF76">
      <w:numFmt w:val="decimal"/>
      <w:lvlText w:val=""/>
      <w:lvlJc w:val="left"/>
    </w:lvl>
    <w:lvl w:ilvl="5" w:tplc="75D02FAC">
      <w:numFmt w:val="decimal"/>
      <w:lvlText w:val=""/>
      <w:lvlJc w:val="left"/>
    </w:lvl>
    <w:lvl w:ilvl="6" w:tplc="34028FB0">
      <w:numFmt w:val="decimal"/>
      <w:lvlText w:val=""/>
      <w:lvlJc w:val="left"/>
    </w:lvl>
    <w:lvl w:ilvl="7" w:tplc="DDB048C2">
      <w:numFmt w:val="decimal"/>
      <w:lvlText w:val=""/>
      <w:lvlJc w:val="left"/>
    </w:lvl>
    <w:lvl w:ilvl="8" w:tplc="AFE45EF0">
      <w:numFmt w:val="decimal"/>
      <w:lvlText w:val=""/>
      <w:lvlJc w:val="left"/>
    </w:lvl>
  </w:abstractNum>
  <w:num w:numId="1" w16cid:durableId="1942491850">
    <w:abstractNumId w:val="1"/>
    <w:lvlOverride w:ilvl="0">
      <w:startOverride w:val="1"/>
    </w:lvlOverride>
  </w:num>
  <w:num w:numId="2" w16cid:durableId="1956595622">
    <w:abstractNumId w:val="2"/>
    <w:lvlOverride w:ilvl="0">
      <w:startOverride w:val="1"/>
    </w:lvlOverride>
  </w:num>
  <w:num w:numId="3" w16cid:durableId="1311863906">
    <w:abstractNumId w:val="5"/>
    <w:lvlOverride w:ilvl="0">
      <w:startOverride w:val="1"/>
    </w:lvlOverride>
  </w:num>
  <w:num w:numId="4" w16cid:durableId="1088622023">
    <w:abstractNumId w:val="6"/>
    <w:lvlOverride w:ilvl="0">
      <w:startOverride w:val="1"/>
    </w:lvlOverride>
  </w:num>
  <w:num w:numId="5" w16cid:durableId="1004169115">
    <w:abstractNumId w:val="13"/>
    <w:lvlOverride w:ilvl="0">
      <w:startOverride w:val="1"/>
    </w:lvlOverride>
  </w:num>
  <w:num w:numId="6" w16cid:durableId="286545824">
    <w:abstractNumId w:val="4"/>
    <w:lvlOverride w:ilvl="0">
      <w:startOverride w:val="1"/>
    </w:lvlOverride>
  </w:num>
  <w:num w:numId="7" w16cid:durableId="1721588368">
    <w:abstractNumId w:val="12"/>
    <w:lvlOverride w:ilvl="0">
      <w:startOverride w:val="1"/>
    </w:lvlOverride>
  </w:num>
  <w:num w:numId="8" w16cid:durableId="30763815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F21"/>
    <w:rsid w:val="00197035"/>
    <w:rsid w:val="002B2A64"/>
    <w:rsid w:val="00341F21"/>
    <w:rsid w:val="003E1147"/>
    <w:rsid w:val="005A073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DF48EFE"/>
  <w15:docId w15:val="{D0844CE4-5648-DE43-BD4F-2F44D0EA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sz w:val="21"/>
        <w:szCs w:val="21"/>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8" w:space="4" w:color="C0392B"/>
      </w:pBdr>
      <w:spacing w:before="320" w:after="160"/>
      <w:outlineLvl w:val="0"/>
    </w:pPr>
    <w:rPr>
      <w:b/>
      <w:bCs/>
      <w:color w:val="1B2A4A"/>
      <w:sz w:val="32"/>
      <w:szCs w:val="32"/>
    </w:rPr>
  </w:style>
  <w:style w:type="paragraph" w:styleId="Heading2">
    <w:name w:val="heading 2"/>
    <w:uiPriority w:val="9"/>
    <w:unhideWhenUsed/>
    <w:qFormat/>
    <w:pPr>
      <w:spacing w:before="220" w:after="100"/>
      <w:outlineLvl w:val="1"/>
    </w:pPr>
    <w:rPr>
      <w:b/>
      <w:bCs/>
      <w:color w:val="2E5A88"/>
      <w:sz w:val="25"/>
      <w:szCs w:val="25"/>
    </w:rPr>
  </w:style>
  <w:style w:type="paragraph" w:styleId="Heading3">
    <w:name w:val="heading 3"/>
    <w:uiPriority w:val="9"/>
    <w:semiHidden/>
    <w:unhideWhenUsed/>
    <w:qFormat/>
    <w:pPr>
      <w:spacing w:before="140" w:after="60"/>
      <w:outlineLvl w:val="2"/>
    </w:pPr>
    <w:rPr>
      <w:b/>
      <w:bCs/>
      <w:color w:val="1B2A4A"/>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yperlink1">
    <w:name w:val="Hyperlink1"/>
    <w:rPr>
      <w:color w:val="2E5A88"/>
      <w:u w:val="single"/>
    </w:rPr>
  </w:style>
  <w:style w:type="paragraph" w:styleId="TOC1">
    <w:name w:val="toc 1"/>
    <w:basedOn w:val="Normal"/>
    <w:next w:val="Normal"/>
    <w:autoRedefine/>
    <w:uiPriority w:val="39"/>
    <w:unhideWhenUsed/>
    <w:rsid w:val="002B2A64"/>
    <w:pPr>
      <w:spacing w:after="100"/>
    </w:pPr>
  </w:style>
  <w:style w:type="paragraph" w:styleId="TOC2">
    <w:name w:val="toc 2"/>
    <w:basedOn w:val="Normal"/>
    <w:next w:val="Normal"/>
    <w:autoRedefine/>
    <w:uiPriority w:val="39"/>
    <w:unhideWhenUsed/>
    <w:rsid w:val="002B2A64"/>
    <w:pPr>
      <w:spacing w:after="100"/>
      <w:ind w:left="210"/>
    </w:pPr>
  </w:style>
  <w:style w:type="paragraph" w:styleId="Header">
    <w:name w:val="header"/>
    <w:basedOn w:val="Normal"/>
    <w:link w:val="HeaderChar"/>
    <w:uiPriority w:val="99"/>
    <w:unhideWhenUsed/>
    <w:rsid w:val="003E1147"/>
    <w:pPr>
      <w:tabs>
        <w:tab w:val="center" w:pos="4680"/>
        <w:tab w:val="right" w:pos="9360"/>
      </w:tabs>
    </w:pPr>
  </w:style>
  <w:style w:type="character" w:customStyle="1" w:styleId="HeaderChar">
    <w:name w:val="Header Char"/>
    <w:basedOn w:val="DefaultParagraphFont"/>
    <w:link w:val="Header"/>
    <w:uiPriority w:val="99"/>
    <w:rsid w:val="003E1147"/>
  </w:style>
  <w:style w:type="paragraph" w:styleId="Footer">
    <w:name w:val="footer"/>
    <w:basedOn w:val="Normal"/>
    <w:link w:val="FooterChar"/>
    <w:uiPriority w:val="99"/>
    <w:unhideWhenUsed/>
    <w:rsid w:val="003E1147"/>
    <w:pPr>
      <w:tabs>
        <w:tab w:val="center" w:pos="4680"/>
        <w:tab w:val="right" w:pos="9360"/>
      </w:tabs>
    </w:pPr>
  </w:style>
  <w:style w:type="character" w:customStyle="1" w:styleId="FooterChar">
    <w:name w:val="Footer Char"/>
    <w:basedOn w:val="DefaultParagraphFont"/>
    <w:link w:val="Footer"/>
    <w:uiPriority w:val="99"/>
    <w:rsid w:val="003E1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cat.ac.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cat.ac.uk/" TargetMode="External"/><Relationship Id="rId12" Type="http://schemas.openxmlformats.org/officeDocument/2006/relationships/hyperlink" Target="https://www.gmc-uk.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student-vis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edschools.ac.uk/" TargetMode="External"/><Relationship Id="rId4" Type="http://schemas.openxmlformats.org/officeDocument/2006/relationships/webSettings" Target="webSettings.xml"/><Relationship Id="rId9" Type="http://schemas.openxmlformats.org/officeDocument/2006/relationships/hyperlink" Target="https://www.ucas.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3403</Words>
  <Characters>19400</Characters>
  <Application>Microsoft Office Word</Application>
  <DocSecurity>0</DocSecurity>
  <Lines>161</Lines>
  <Paragraphs>45</Paragraphs>
  <ScaleCrop>false</ScaleCrop>
  <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Ultimate Guide to UK Medical School Admissions for International Students</dc:title>
  <dc:creator>KUMAS</dc:creator>
  <cp:lastModifiedBy>Kim, Yoon Kyoung</cp:lastModifiedBy>
  <cp:revision>3</cp:revision>
  <dcterms:created xsi:type="dcterms:W3CDTF">2026-06-14T15:14:00Z</dcterms:created>
  <dcterms:modified xsi:type="dcterms:W3CDTF">2026-06-14T15:22:00Z</dcterms:modified>
</cp:coreProperties>
</file>